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12B31" w14:textId="77777777" w:rsidR="004147EF" w:rsidRDefault="00000000">
      <w:pPr>
        <w:pStyle w:val="Title"/>
      </w:pPr>
      <w:r>
        <w:t>HENPS: surface access session</w:t>
      </w:r>
    </w:p>
    <w:p w14:paraId="1B32D391" w14:textId="77777777" w:rsidR="004147EF" w:rsidRDefault="00000000">
      <w:pPr>
        <w:pStyle w:val="Subtitle"/>
      </w:pPr>
      <w:r>
        <w:t>Transport Committee hearing, 15 September 2026 | Questions 280–337</w:t>
      </w:r>
    </w:p>
    <w:p w14:paraId="07EB1036" w14:textId="77777777" w:rsidR="004147EF" w:rsidRDefault="00000000">
      <w:r>
        <w:rPr>
          <w:b/>
        </w:rPr>
        <w:t>BRIEFING NOTE  |  17 September 2026</w:t>
      </w:r>
    </w:p>
    <w:p w14:paraId="5FD99360" w14:textId="77777777" w:rsidR="004147EF" w:rsidRDefault="00000000">
      <w:pPr>
        <w:pStyle w:val="Heading1"/>
      </w:pPr>
      <w:r>
        <w:t>Purpose and witnesses</w:t>
      </w:r>
    </w:p>
    <w:p w14:paraId="38F7A6B6" w14:textId="77777777" w:rsidR="004147EF" w:rsidRDefault="00000000">
      <w:r>
        <w:t>This note summarises the first panel of the Transport Committee hearing on 15 September 2026. The witnesses were Steven Costello, Director, Heathrow Southern Railway Ltd; Elliot Shaw, Chief Customer and Strategy Officer, National Highways; Anthony Smith, Chair, Heathrow Area Transport Forum; and Alex Williams, Chief Customer and Strategy Officer, Transport for London (TfL).</w:t>
      </w:r>
    </w:p>
    <w:p w14:paraId="0FC36FFC" w14:textId="77777777" w:rsidR="004147EF" w:rsidRDefault="00000000">
      <w:pPr>
        <w:pStyle w:val="Heading1"/>
      </w:pPr>
      <w:r>
        <w:t>A weaker policy framework than 2018</w:t>
      </w:r>
    </w:p>
    <w:p w14:paraId="57ABBE2F" w14:textId="77777777" w:rsidR="004147EF" w:rsidRDefault="00000000">
      <w:pPr>
        <w:pStyle w:val="ListBullet"/>
      </w:pPr>
      <w:r>
        <w:t>TfL considered the draft materially weaker than the 2018 Airports NPS. The previous aspiration that airport-related road traffic should be no greater than today has disappeared, as has a separate target for employee travel. The passenger public-transport targets—50% at runway opening and 55% at 130 million passengers—were described as inherited rather than evidence-led (Q281–Q286, Q309–Q316).</w:t>
      </w:r>
    </w:p>
    <w:p w14:paraId="72ABEE48" w14:textId="77777777" w:rsidR="004147EF" w:rsidRDefault="00000000">
      <w:pPr>
        <w:pStyle w:val="ListBullet"/>
      </w:pPr>
      <w:r>
        <w:t>The scale of the challenge is substantial. TfL said public-transport mode share had moved only from 39.7% to around 42% despite the £18 billion Elizabeth line; Heathrow used a higher current figure of 48.4%. Even if the proposed targets are achieved, TfL estimated that expansion would add about 60,000 vehicle movements a day. National Highways agreed that traffic at that level would require additional strategic-road capacity, although promoter modelling was not yet available (Q281–Q285, Q328–Q337).</w:t>
      </w:r>
    </w:p>
    <w:p w14:paraId="48E13EDC" w14:textId="77777777" w:rsidR="004147EF" w:rsidRDefault="00000000">
      <w:pPr>
        <w:pStyle w:val="ListBullet"/>
      </w:pPr>
      <w:r>
        <w:t>Witnesses could identify no clear consequence if a target is missed. They favoured enforceable, staged controls—comparable to conditions used for Gatwick—so that passenger growth cannot continue while mitigation lags. The present 116 million and 130 million passenger triggers risk encouraging an operator to remain just below a threshold, while rail schemes cannot be switched on at short notice (Q286–Q291, Q323–Q325).</w:t>
      </w:r>
    </w:p>
    <w:p w14:paraId="04355DC2" w14:textId="77777777" w:rsidR="004147EF" w:rsidRDefault="00000000">
      <w:pPr>
        <w:pStyle w:val="Heading1"/>
      </w:pPr>
      <w:r>
        <w:t>Rail: essential, but uncommitted and unled</w:t>
      </w:r>
    </w:p>
    <w:p w14:paraId="0E5A9B2B" w14:textId="77777777" w:rsidR="004147EF" w:rsidRDefault="00000000">
      <w:pPr>
        <w:pStyle w:val="ListBullet"/>
      </w:pPr>
      <w:r>
        <w:t>The draft says western and southern rail access “may” or “could” be needed. TfL and Heathrow Southern Railway argued that the schemes are essential and that the wording should require an integrated western-and-southern solution. Rail should be consented and delivered early enough to establish travel habits, not deferred until the airport approaches 130 million passengers (Q287–Q291, Q303–Q305, Q323–Q324).</w:t>
      </w:r>
    </w:p>
    <w:p w14:paraId="44FF833B" w14:textId="77777777" w:rsidR="004147EF" w:rsidRDefault="00000000">
      <w:pPr>
        <w:pStyle w:val="ListBullet"/>
      </w:pPr>
      <w:r>
        <w:t>The institutional position has regressed since 2017: DfT and Network Rail previously had active teams, whereas no public body now has clear responsibility for advancing the links. A “mobiliser” or senior reference group is needed to align Government, Network Rail/Great British Railways, TfL, Heathrow and private promoters (Q303–Q305, Q319–Q324).</w:t>
      </w:r>
    </w:p>
    <w:p w14:paraId="195A5AA2" w14:textId="77777777" w:rsidR="004147EF" w:rsidRDefault="00000000">
      <w:pPr>
        <w:pStyle w:val="ListBullet"/>
      </w:pPr>
      <w:r>
        <w:t>Existing assets also need investment. The Piccadilly line requires signalling and capacity improvements, the Elizabeth line will need more trains, and terminal stations and interchange routes may become constrained. Witnesses also pointed to possible better use of Heathrow Express paths and the passive provision at Terminal 5, but said the promoters had not yet shown how the enlarged airport would connect operationally to existing terminals (Q283, Q305–Q308).</w:t>
      </w:r>
    </w:p>
    <w:p w14:paraId="3A53B76B" w14:textId="77777777" w:rsidR="004147EF" w:rsidRDefault="00000000">
      <w:pPr>
        <w:pStyle w:val="Heading1"/>
      </w:pPr>
      <w:r>
        <w:t>Funding and sequencing remain unresolved</w:t>
      </w:r>
    </w:p>
    <w:p w14:paraId="38B0510C" w14:textId="77777777" w:rsidR="004147EF" w:rsidRDefault="00000000">
      <w:pPr>
        <w:pStyle w:val="ListBullet"/>
      </w:pPr>
      <w:r>
        <w:t>Promoter cost presentations exclude major surface-access requirements. TfL cited the Elizabeth line contribution—reduced through the CAA settlement, with DfT filling the gap—as evidence that “no recourse to the public purse” is not presently credible. It considered the regulated framework unsuitable for expansion at this scale and expected some public funding, reflecting wider non-airport benefits (Q317–Q322).</w:t>
      </w:r>
    </w:p>
    <w:p w14:paraId="5F2216A5" w14:textId="77777777" w:rsidR="004147EF" w:rsidRDefault="00000000">
      <w:pPr>
        <w:pStyle w:val="ListBullet"/>
      </w:pPr>
      <w:r>
        <w:t>Heathrow Southern Railway proposed private finance backed by a Government support framework rather than capital funding: principally certainty over a minimum train service, an investable policy pathway and co-ordination between agencies. Potential revenue sources included hypothecated terminal drop-off and parking income. TfL and HATF supported hypothecation, while noting that airport users should fund only a proportionate share of improvements with wider benefits (Q299–Q302, Q317–Q322).</w:t>
      </w:r>
    </w:p>
    <w:p w14:paraId="39CB9740" w14:textId="77777777" w:rsidR="004147EF" w:rsidRDefault="00000000">
      <w:pPr>
        <w:pStyle w:val="ListBullet"/>
      </w:pPr>
      <w:r>
        <w:t xml:space="preserve">Construction and transport works must be sequenced across decades. National Highways regarded the road proposals as capable of being worked through, but had not yet tested their effect on the M25 and </w:t>
      </w:r>
      <w:r>
        <w:lastRenderedPageBreak/>
        <w:t>M4. Witnesses urged rail to come forward first, both to change behaviour and to support movement of construction material and waste, while avoiding simultaneous road and rail disruption (Q323–Q333).</w:t>
      </w:r>
    </w:p>
    <w:p w14:paraId="52764DE3" w14:textId="77777777" w:rsidR="004147EF" w:rsidRDefault="00000000">
      <w:pPr>
        <w:pStyle w:val="Heading1"/>
      </w:pPr>
      <w:r>
        <w:t>Staff, buses, parking and freight</w:t>
      </w:r>
    </w:p>
    <w:p w14:paraId="1F96DCED" w14:textId="77777777" w:rsidR="004147EF" w:rsidRDefault="00000000">
      <w:pPr>
        <w:pStyle w:val="ListBullet"/>
      </w:pPr>
      <w:r>
        <w:t>Around 80,000 people work at Heathrow, many on shifts when rail is unavailable. Removing the staff travel target leaves a major source of traffic unaddressed. Local buses, coaches and active travel therefore need sustained funding and network-wide priority; the panel also supported restoring the airport-funded free local bus zone withdrawn during covid (Q292–Q302).</w:t>
      </w:r>
    </w:p>
    <w:p w14:paraId="79A6334E" w14:textId="77777777" w:rsidR="004147EF" w:rsidRDefault="00000000">
      <w:pPr>
        <w:pStyle w:val="ListBullet"/>
      </w:pPr>
      <w:r>
        <w:t>The proposed increase in parking—from about 21,000 to 36,000 spaces—sits uneasily with mode shift. Witnesses discussed caps, separate treatment of staff parking, and pricing signals: parking can generate two road trips, while taxi or kiss-and-fly journeys may generate four. Revenues should support sustainable access rather than remain general airport income (Q282, Q295–Q302).</w:t>
      </w:r>
    </w:p>
    <w:p w14:paraId="780B34EA" w14:textId="77777777" w:rsidR="004147EF" w:rsidRDefault="00000000">
      <w:pPr>
        <w:pStyle w:val="ListBullet"/>
      </w:pPr>
      <w:r>
        <w:t>Freight and servicing were underdeveloped in the draft. TfL referred to a possible 50% increase in freight, alongside prolonged construction traffic. National Highways said promoters must model all trips, their timing and phasing, and provide credible mitigation before a decision is made (Q299, Q313–Q315).</w:t>
      </w:r>
    </w:p>
    <w:p w14:paraId="60F9DF54" w14:textId="77777777" w:rsidR="004147EF" w:rsidRDefault="00000000">
      <w:pPr>
        <w:pStyle w:val="Heading1"/>
      </w:pPr>
      <w:r>
        <w:t>Overall assessment</w:t>
      </w:r>
    </w:p>
    <w:p w14:paraId="6CF99020" w14:textId="77777777" w:rsidR="004147EF" w:rsidRDefault="00000000">
      <w:r>
        <w:t>The panel did not say that surface access makes expansion impossible. It said that the present policy does not yet make delivery credible. The draft tolerates substantial additional traffic, omits staff targets, lacks enforceable consequences, leaves key rail schemes unfunded and without a public-sector lead, and depends on promoter modelling that had not been seen. A robust HENPS would require early integrated rail delivery, staged growth controls, comprehensive passenger, staff, freight and construction modelling, hypothecated demand-management revenue, and an explicit allocation of funding and institutional responsibility.</w:t>
      </w:r>
    </w:p>
    <w:p w14:paraId="3D1B0A12" w14:textId="77777777" w:rsidR="004147EF" w:rsidRDefault="00000000">
      <w:pPr>
        <w:pStyle w:val="Heading3"/>
      </w:pPr>
      <w:r>
        <w:t>Source note</w:t>
      </w:r>
    </w:p>
    <w:p w14:paraId="515E247D" w14:textId="77777777" w:rsidR="004147EF" w:rsidRDefault="00000000">
      <w:r>
        <w:t>Transport Committee, Oral evidence: Scrutiny of the draft Heathrow Expansion National Policy Statement, HC 482, 15 September 2026, Q280–337.</w:t>
      </w:r>
    </w:p>
    <w:sectPr w:rsidR="004147EF" w:rsidSect="00034616">
      <w:headerReference w:type="default" r:id="rId8"/>
      <w:footerReference w:type="default" r:id="rId9"/>
      <w:pgSz w:w="11909" w:h="16834"/>
      <w:pgMar w:top="979" w:right="1123" w:bottom="979" w:left="1123" w:header="432" w:footer="4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9717A" w14:textId="77777777" w:rsidR="00BF0899" w:rsidRDefault="00BF0899">
      <w:pPr>
        <w:spacing w:after="0" w:line="240" w:lineRule="auto"/>
      </w:pPr>
      <w:r>
        <w:separator/>
      </w:r>
    </w:p>
  </w:endnote>
  <w:endnote w:type="continuationSeparator" w:id="0">
    <w:p w14:paraId="050F3506" w14:textId="77777777" w:rsidR="00BF0899" w:rsidRDefault="00BF0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CF9D4" w14:textId="77777777" w:rsidR="004147EF" w:rsidRDefault="00000000">
    <w:pPr>
      <w:pStyle w:val="Footer"/>
      <w:jc w:val="right"/>
    </w:pPr>
    <w:r>
      <w:rPr>
        <w:sz w:val="16"/>
      </w:rPr>
      <w:t xml:space="preserve">Page </w:t>
    </w:r>
    <w:r>
      <w:fldChar w:fldCharType="begin"/>
    </w:r>
    <w:r>
      <w:instrText>PAGE</w:instrText>
    </w:r>
    <w:r>
      <w:fldChar w:fldCharType="separate"/>
    </w:r>
    <w:r w:rsidR="0069028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524A6" w14:textId="77777777" w:rsidR="00BF0899" w:rsidRDefault="00BF0899">
      <w:pPr>
        <w:spacing w:after="0" w:line="240" w:lineRule="auto"/>
      </w:pPr>
      <w:r>
        <w:separator/>
      </w:r>
    </w:p>
  </w:footnote>
  <w:footnote w:type="continuationSeparator" w:id="0">
    <w:p w14:paraId="258F0032" w14:textId="77777777" w:rsidR="00BF0899" w:rsidRDefault="00BF08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87ED0" w14:textId="77777777" w:rsidR="004147EF" w:rsidRDefault="00000000">
    <w:pPr>
      <w:pStyle w:val="Header"/>
      <w:jc w:val="right"/>
    </w:pPr>
    <w:r>
      <w:rPr>
        <w:b/>
        <w:color w:val="5A636C"/>
        <w:sz w:val="16"/>
      </w:rPr>
      <w:t>HENPS TRANSPORT COMMITTEE BRIEFING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36254587">
    <w:abstractNumId w:val="8"/>
  </w:num>
  <w:num w:numId="2" w16cid:durableId="1207374039">
    <w:abstractNumId w:val="6"/>
  </w:num>
  <w:num w:numId="3" w16cid:durableId="114638706">
    <w:abstractNumId w:val="5"/>
  </w:num>
  <w:num w:numId="4" w16cid:durableId="1237402124">
    <w:abstractNumId w:val="4"/>
  </w:num>
  <w:num w:numId="5" w16cid:durableId="622997931">
    <w:abstractNumId w:val="7"/>
  </w:num>
  <w:num w:numId="6" w16cid:durableId="1612131961">
    <w:abstractNumId w:val="3"/>
  </w:num>
  <w:num w:numId="7" w16cid:durableId="610744543">
    <w:abstractNumId w:val="2"/>
  </w:num>
  <w:num w:numId="8" w16cid:durableId="11997914">
    <w:abstractNumId w:val="1"/>
  </w:num>
  <w:num w:numId="9" w16cid:durableId="1357657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147EF"/>
    <w:rsid w:val="00690287"/>
    <w:rsid w:val="00761771"/>
    <w:rsid w:val="00AA1D8D"/>
    <w:rsid w:val="00B47730"/>
    <w:rsid w:val="00BF089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2FC4DA"/>
  <w14:defaultImageDpi w14:val="300"/>
  <w15:docId w15:val="{5A44E160-0BD4-4574-A8C2-2221895CE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90" w:line="252" w:lineRule="auto"/>
    </w:pPr>
    <w:rPr>
      <w:rFonts w:ascii="Arial" w:hAnsi="Arial"/>
      <w:sz w:val="20"/>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173756"/>
      <w:sz w:val="28"/>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b/>
      <w:bCs/>
      <w:color w:val="173756"/>
      <w:sz w:val="23"/>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b/>
      <w:bCs/>
      <w:color w:val="173756"/>
      <w:sz w:val="1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contextualSpacing/>
    </w:pPr>
    <w:rPr>
      <w:rFonts w:asciiTheme="majorHAnsi" w:eastAsiaTheme="majorEastAsia" w:hAnsiTheme="majorHAnsi" w:cstheme="majorBidi"/>
      <w:b/>
      <w:color w:val="173756"/>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80"/>
    </w:pPr>
    <w:rPr>
      <w:rFonts w:asciiTheme="majorHAnsi" w:eastAsiaTheme="majorEastAsia" w:hAnsiTheme="majorHAnsi" w:cstheme="majorBidi"/>
      <w:i/>
      <w:iCs/>
      <w:color w:val="173756"/>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954</Words>
  <Characters>5441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HENPS: surface access session</dc:title>
  <dc:subject>Transport Committee hearing, 15 September 2026 | Questions 280–337</dc:subject>
  <dc:creator>python-docx</dc:creator>
  <cp:keywords/>
  <dc:description>generated by python-docx</dc:description>
  <cp:lastModifiedBy>Lesley Smith</cp:lastModifiedBy>
  <cp:revision>2</cp:revision>
  <dcterms:created xsi:type="dcterms:W3CDTF">2026-09-17T09:15:00Z</dcterms:created>
  <dcterms:modified xsi:type="dcterms:W3CDTF">2026-09-17T09:15:00Z</dcterms:modified>
  <cp:category/>
</cp:coreProperties>
</file>