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DD997" w14:textId="77777777" w:rsidR="000F5D24" w:rsidRDefault="00000000">
      <w:pPr>
        <w:pStyle w:val="Title"/>
      </w:pPr>
      <w:r>
        <w:t>HENPS: local impacts and planning session</w:t>
      </w:r>
    </w:p>
    <w:p w14:paraId="11F13300" w14:textId="77777777" w:rsidR="000F5D24" w:rsidRDefault="00000000">
      <w:pPr>
        <w:pStyle w:val="Subtitle"/>
      </w:pPr>
      <w:r>
        <w:t>Transport Committee hearing, 15 September 2026 | Questions 338–389</w:t>
      </w:r>
    </w:p>
    <w:p w14:paraId="6D3E42DE" w14:textId="77777777" w:rsidR="000F5D24" w:rsidRDefault="00000000">
      <w:r>
        <w:rPr>
          <w:b/>
        </w:rPr>
        <w:t>BRIEFING NOTE  |  17 September 2026</w:t>
      </w:r>
    </w:p>
    <w:p w14:paraId="08981D83" w14:textId="77777777" w:rsidR="000F5D24" w:rsidRDefault="00000000">
      <w:pPr>
        <w:pStyle w:val="Heading1"/>
      </w:pPr>
      <w:r>
        <w:t>Purpose and witnesses</w:t>
      </w:r>
    </w:p>
    <w:p w14:paraId="4EB0DC91" w14:textId="77777777" w:rsidR="000F5D24" w:rsidRDefault="00000000">
      <w:r>
        <w:t>This note summarises the second panel. The witnesses were Michael Coughlin, Strategic Adviser, and Mark Frost, Associate Director, Heathrow Strategic Planning Group (HSPG); Ian Thynne, Head of Environmental Planning Specialists, London Borough of Hillingdon; and Anna Sutherland Bamber, Council Member, National Infrastructure Planning Association (NIPA).</w:t>
      </w:r>
    </w:p>
    <w:p w14:paraId="720A866E" w14:textId="77777777" w:rsidR="000F5D24" w:rsidRDefault="00000000">
      <w:pPr>
        <w:pStyle w:val="Heading1"/>
      </w:pPr>
      <w:r>
        <w:t>Consultation and the scope of the tests</w:t>
      </w:r>
    </w:p>
    <w:p w14:paraId="18D42F69" w14:textId="77777777" w:rsidR="000F5D24" w:rsidRDefault="00000000">
      <w:pPr>
        <w:pStyle w:val="ListBullet"/>
      </w:pPr>
      <w:r>
        <w:t>NIPA regarded the 10-week consultation as consistent with normal practice. Hillingdon disagreed, contrasting it with the independently observed earlier process, 20 local DfT events and one million leaflet drops. The compressed timetable, summer period and simultaneous activity by two promoters were said to have confused and fatigued affected communities (Q340–Q341).</w:t>
      </w:r>
    </w:p>
    <w:p w14:paraId="1F2B95F4" w14:textId="77777777" w:rsidR="000F5D24" w:rsidRDefault="00000000">
      <w:pPr>
        <w:pStyle w:val="ListBullet"/>
      </w:pPr>
      <w:r>
        <w:t>The four tests—economic growth, carbon, air quality and noise—were criticised for crowding out wider environmental and social impacts. HSPG said surface access could justify a further test; Hillingdon sought a community test requiring local areas to be demonstrably better off, rather than assuming national gains outweigh local harm (Q342–Q349).</w:t>
      </w:r>
    </w:p>
    <w:p w14:paraId="66247E11" w14:textId="77777777" w:rsidR="000F5D24" w:rsidRDefault="00000000">
      <w:pPr>
        <w:pStyle w:val="ListBullet"/>
      </w:pPr>
      <w:r>
        <w:t>Particular concerns included culverting rivers, loss of green and blue infrastructure in the Colne Valley, and biodiversity mitigation being delivered far from communities that lose access to nature. Local nature recovery strategies were proposed as the basis for evidence-led, local mitigation, while witnesses stressed that replacement habitat cannot always reproduce what is destroyed (Q342–Q346).</w:t>
      </w:r>
    </w:p>
    <w:p w14:paraId="21053682" w14:textId="77777777" w:rsidR="000F5D24" w:rsidRDefault="00000000">
      <w:pPr>
        <w:pStyle w:val="Heading1"/>
      </w:pPr>
      <w:r>
        <w:t>Planning balance and “critical national growth infrastructure”</w:t>
      </w:r>
    </w:p>
    <w:p w14:paraId="6008D505" w14:textId="77777777" w:rsidR="000F5D24" w:rsidRDefault="00000000">
      <w:pPr>
        <w:pStyle w:val="ListBullet"/>
      </w:pPr>
      <w:r>
        <w:t>The new description of expansion as “critical national growth infrastructure” has no established planning definition or precedent identified by the panel. Local-government witnesses feared it creates an overriding presumption: residual harms may be examined but given little decisive weight once the principle of development has been established (Q350–Q361).</w:t>
      </w:r>
    </w:p>
    <w:p w14:paraId="4DE0F8B5" w14:textId="77777777" w:rsidR="000F5D24" w:rsidRDefault="00000000">
      <w:pPr>
        <w:pStyle w:val="ListBullet"/>
      </w:pPr>
      <w:r>
        <w:t>NIPA said the examining authority would still test the economic and environmental evidence and reflect the balance in its recommendation. Hillingdon and HSPG nevertheless argued that the wording tilts the statutory balance away from the normal equal consideration of economic, environmental and social factors, especially troubling where the economic case is weaker than in 2018 (Q352–Q361).</w:t>
      </w:r>
    </w:p>
    <w:p w14:paraId="4AB21411" w14:textId="77777777" w:rsidR="000F5D24" w:rsidRDefault="00000000">
      <w:pPr>
        <w:pStyle w:val="ListBullet"/>
      </w:pPr>
      <w:r>
        <w:t>The panel favoured environmentally managed growth: permissions and passenger growth should be released only when measurable outcomes have been achieved. Affordability should not become a later reason to remove mitigation after communities and authorities have invested years in the process (Q347–Q361, Q386).</w:t>
      </w:r>
    </w:p>
    <w:p w14:paraId="2CB8A1A0" w14:textId="77777777" w:rsidR="000F5D24" w:rsidRDefault="00000000">
      <w:pPr>
        <w:pStyle w:val="Heading1"/>
      </w:pPr>
      <w:r>
        <w:t>Surface access and local roads</w:t>
      </w:r>
    </w:p>
    <w:p w14:paraId="421D3B9C" w14:textId="77777777" w:rsidR="000F5D24" w:rsidRDefault="00000000">
      <w:pPr>
        <w:pStyle w:val="ListBullet"/>
      </w:pPr>
      <w:r>
        <w:t>The estimated additional 55,000–60,000 daily vehicle movements would fall heavily on already congested local roads whenever the M25 or M4 fails. The draft contains no adequate mechanism to prevent growth if mode-share targets are missed, and no obligation to assess resilience under disrupted—not merely normal—conditions (Q362–Q365).</w:t>
      </w:r>
    </w:p>
    <w:p w14:paraId="7684AA42" w14:textId="77777777" w:rsidR="000F5D24" w:rsidRDefault="00000000">
      <w:pPr>
        <w:pStyle w:val="ListBullet"/>
      </w:pPr>
      <w:r>
        <w:t>Witnesses sought monitored, staged growth and local hypothecation of drop-off or road-charging income. Road works inside the airport boundary would not create a credible bus or cycle network if lanes and routes stop at the perimeter. Rail links and off-site local infrastructure therefore need to be secured as part of the scheme, with clear maintenance arrangements (Q362–Q365).</w:t>
      </w:r>
    </w:p>
    <w:p w14:paraId="5A8496F8" w14:textId="77777777" w:rsidR="000F5D24" w:rsidRDefault="00000000">
      <w:pPr>
        <w:pStyle w:val="Heading1"/>
      </w:pPr>
      <w:r>
        <w:t>Noise, housing and public-service impacts</w:t>
      </w:r>
    </w:p>
    <w:p w14:paraId="2BA07EA3" w14:textId="77777777" w:rsidR="000F5D24" w:rsidRDefault="00000000">
      <w:pPr>
        <w:pStyle w:val="ListBullet"/>
      </w:pPr>
      <w:r>
        <w:t>Existing noise insulation was welcomed but described as too slow and weakly accountable. At the approved rate, HSPG suggested full coverage could take more than 100 years. The £3,000 Heathrow offer is unchanged from 2018 and compares with up to £6,500 at Gatwick; eligibility thresholds do not reflect newer evidence that annoyance occurs at lower noise levels (Q366–Q370).</w:t>
      </w:r>
    </w:p>
    <w:p w14:paraId="47270530" w14:textId="77777777" w:rsidR="000F5D24" w:rsidRDefault="00000000">
      <w:pPr>
        <w:pStyle w:val="ListBullet"/>
      </w:pPr>
      <w:r>
        <w:t xml:space="preserve">A “no more noise” envelope based on an aggregate 2024 contour would still expose new communities, including regeneration areas in Hayes, to new flightpaths. Because airspace design is separate, many </w:t>
      </w:r>
      <w:r>
        <w:lastRenderedPageBreak/>
        <w:t>households may not know whether they are affected until much later. Mitigation should precede new flights and include schools, community buildings and the future cost of constructing housing within the noise footprint (Q371–Q374).</w:t>
      </w:r>
    </w:p>
    <w:p w14:paraId="3EFED156" w14:textId="77777777" w:rsidR="000F5D24" w:rsidRDefault="00000000">
      <w:pPr>
        <w:pStyle w:val="ListBullet"/>
      </w:pPr>
      <w:r>
        <w:t>The draft does not adequately assess cumulative burdens on councils: public health, policing, housing, education, immigration-related services, environmental monitoring and post-consent duties. Expansion could require about 20,000 workers, remove more than 700 homes, disrupt villages and displace hotels and public facilities, yet phasing, replacement capacity and the fiscal settlement remain unclear (Q375–Q382).</w:t>
      </w:r>
    </w:p>
    <w:p w14:paraId="50B1B458" w14:textId="77777777" w:rsidR="000F5D24" w:rsidRDefault="00000000">
      <w:pPr>
        <w:pStyle w:val="ListBullet"/>
      </w:pPr>
      <w:r>
        <w:t>The proposed £50 million annual community fund has not been uprated from 2018 and lacks clear governance. Witnesses called for an upfront compact under which airport growth produces tangible benefits—skills, good employment, infrastructure and locally directed revenues—rather than relying on uncertain future business rates (Q375–Q382).</w:t>
      </w:r>
    </w:p>
    <w:p w14:paraId="4C608795" w14:textId="77777777" w:rsidR="000F5D24" w:rsidRDefault="00000000">
      <w:pPr>
        <w:pStyle w:val="Heading1"/>
      </w:pPr>
      <w:r>
        <w:t>Two promoters and the DCO process</w:t>
      </w:r>
    </w:p>
    <w:p w14:paraId="2E3E4362" w14:textId="77777777" w:rsidR="000F5D24" w:rsidRDefault="00000000">
      <w:pPr>
        <w:pStyle w:val="ListBullet"/>
      </w:pPr>
      <w:r>
        <w:t>There was no identified precedent for two competing schemes being developed against one project-specific NPS. The draft does not require common baselines, forecasts or rules of engagement, creating a risk of rival evidence bases, duplicated cost and an unmanageable burden for councils, residents and the Planning Inspectorate (Q383–Q384).</w:t>
      </w:r>
    </w:p>
    <w:p w14:paraId="25ABE1CB" w14:textId="77777777" w:rsidR="000F5D24" w:rsidRDefault="00000000">
      <w:pPr>
        <w:pStyle w:val="ListBullet"/>
      </w:pPr>
      <w:r>
        <w:t>For residents facing blight or acquisition, two processes could mean separate advisers, offers and uncertainty. Witnesses warned of litigation and delay unless Government resolves the competition before examination. NIPA considered that the revised NPS addresses several earlier legal challenges, but expected further court scrutiny over whether it goes far enough (Q383–Q389).</w:t>
      </w:r>
    </w:p>
    <w:p w14:paraId="4E01DE65" w14:textId="77777777" w:rsidR="000F5D24" w:rsidRDefault="00000000">
      <w:pPr>
        <w:pStyle w:val="Heading1"/>
      </w:pPr>
      <w:r>
        <w:t>Overall assessment</w:t>
      </w:r>
    </w:p>
    <w:p w14:paraId="38BDA4A1" w14:textId="77777777" w:rsidR="000F5D24" w:rsidRDefault="00000000">
      <w:r>
        <w:t>The evidence exposed a gap between a high-level national growth proposition and the mechanisms needed to protect and improve affected places. The principal weaknesses are the undefined weight given to “critical national growth infrastructure”, incomplete treatment of biodiversity and community outcomes, unenforceable transport and noise safeguards, unquantified burdens on councils, and procedural uncertainty created by two promoters. The panel’s common prescription was clearer accountability: locally grounded mitigation, monitored and conditional growth, provision before impacts occur, adequate authority funding and a single coherent evidential framework for examination.</w:t>
      </w:r>
    </w:p>
    <w:p w14:paraId="5E618975" w14:textId="77777777" w:rsidR="000F5D24" w:rsidRDefault="00000000">
      <w:pPr>
        <w:pStyle w:val="Heading3"/>
      </w:pPr>
      <w:r>
        <w:t>Source note</w:t>
      </w:r>
    </w:p>
    <w:p w14:paraId="5EE32698" w14:textId="77777777" w:rsidR="000F5D24" w:rsidRDefault="00000000">
      <w:r>
        <w:t>Transport Committee, Oral evidence: Scrutiny of the draft Heathrow Expansion National Policy Statement, HC 482, 15 September 2026, Q338–389.</w:t>
      </w:r>
    </w:p>
    <w:sectPr w:rsidR="000F5D24" w:rsidSect="00034616">
      <w:headerReference w:type="default" r:id="rId8"/>
      <w:footerReference w:type="default" r:id="rId9"/>
      <w:pgSz w:w="11909" w:h="16834"/>
      <w:pgMar w:top="979" w:right="1123" w:bottom="979" w:left="1123" w:header="432"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020B1" w14:textId="77777777" w:rsidR="007F495C" w:rsidRDefault="007F495C">
      <w:pPr>
        <w:spacing w:after="0" w:line="240" w:lineRule="auto"/>
      </w:pPr>
      <w:r>
        <w:separator/>
      </w:r>
    </w:p>
  </w:endnote>
  <w:endnote w:type="continuationSeparator" w:id="0">
    <w:p w14:paraId="1A036235" w14:textId="77777777" w:rsidR="007F495C" w:rsidRDefault="007F4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689C3" w14:textId="77777777" w:rsidR="000F5D24" w:rsidRDefault="00000000">
    <w:pPr>
      <w:pStyle w:val="Footer"/>
      <w:jc w:val="right"/>
    </w:pPr>
    <w:r>
      <w:rPr>
        <w:sz w:val="16"/>
      </w:rPr>
      <w:t xml:space="preserve">Page </w:t>
    </w:r>
    <w:r>
      <w:fldChar w:fldCharType="begin"/>
    </w:r>
    <w:r>
      <w:instrText>PAGE</w:instrText>
    </w:r>
    <w:r>
      <w:fldChar w:fldCharType="separate"/>
    </w:r>
    <w:r w:rsidR="002505F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19384" w14:textId="77777777" w:rsidR="007F495C" w:rsidRDefault="007F495C">
      <w:pPr>
        <w:spacing w:after="0" w:line="240" w:lineRule="auto"/>
      </w:pPr>
      <w:r>
        <w:separator/>
      </w:r>
    </w:p>
  </w:footnote>
  <w:footnote w:type="continuationSeparator" w:id="0">
    <w:p w14:paraId="08C0F7BB" w14:textId="77777777" w:rsidR="007F495C" w:rsidRDefault="007F49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57BDF" w14:textId="77777777" w:rsidR="000F5D24" w:rsidRDefault="00000000">
    <w:pPr>
      <w:pStyle w:val="Header"/>
      <w:jc w:val="right"/>
    </w:pPr>
    <w:r>
      <w:rPr>
        <w:b/>
        <w:color w:val="5A636C"/>
        <w:sz w:val="16"/>
      </w:rPr>
      <w:t>HENPS TRANSPORT COMMITTEE BRIEFING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2552895">
    <w:abstractNumId w:val="8"/>
  </w:num>
  <w:num w:numId="2" w16cid:durableId="1605184995">
    <w:abstractNumId w:val="6"/>
  </w:num>
  <w:num w:numId="3" w16cid:durableId="54551092">
    <w:abstractNumId w:val="5"/>
  </w:num>
  <w:num w:numId="4" w16cid:durableId="810559686">
    <w:abstractNumId w:val="4"/>
  </w:num>
  <w:num w:numId="5" w16cid:durableId="594366572">
    <w:abstractNumId w:val="7"/>
  </w:num>
  <w:num w:numId="6" w16cid:durableId="1620212882">
    <w:abstractNumId w:val="3"/>
  </w:num>
  <w:num w:numId="7" w16cid:durableId="995304127">
    <w:abstractNumId w:val="2"/>
  </w:num>
  <w:num w:numId="8" w16cid:durableId="1917978958">
    <w:abstractNumId w:val="1"/>
  </w:num>
  <w:num w:numId="9" w16cid:durableId="2139300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5D24"/>
    <w:rsid w:val="0015074B"/>
    <w:rsid w:val="002505F2"/>
    <w:rsid w:val="0029639D"/>
    <w:rsid w:val="00326F90"/>
    <w:rsid w:val="00761771"/>
    <w:rsid w:val="007F495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BC3A64"/>
  <w14:defaultImageDpi w14:val="300"/>
  <w15:docId w15:val="{5A44E160-0BD4-4574-A8C2-2221895CE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line="252"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173756"/>
      <w:sz w:val="28"/>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color w:val="173756"/>
      <w:sz w:val="23"/>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b/>
      <w:bCs/>
      <w:color w:val="173756"/>
      <w:sz w:val="1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contextualSpacing/>
    </w:pPr>
    <w:rPr>
      <w:rFonts w:asciiTheme="majorHAnsi" w:eastAsiaTheme="majorEastAsia" w:hAnsiTheme="majorHAnsi" w:cstheme="majorBidi"/>
      <w:b/>
      <w:color w:val="17375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80"/>
    </w:pPr>
    <w:rPr>
      <w:rFonts w:asciiTheme="majorHAnsi" w:eastAsiaTheme="majorEastAsia" w:hAnsiTheme="majorHAnsi" w:cstheme="majorBidi"/>
      <w:i/>
      <w:iCs/>
      <w:color w:val="173756"/>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1007</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HENPS: local impacts and planning session</dc:title>
  <dc:subject>Transport Committee hearing, 15 September 2026 | Questions 338–389</dc:subject>
  <dc:creator>python-docx</dc:creator>
  <cp:keywords/>
  <dc:description>generated by python-docx</dc:description>
  <cp:lastModifiedBy>Lesley Smith</cp:lastModifiedBy>
  <cp:revision>2</cp:revision>
  <dcterms:created xsi:type="dcterms:W3CDTF">2026-09-17T09:14:00Z</dcterms:created>
  <dcterms:modified xsi:type="dcterms:W3CDTF">2026-09-17T09:14:00Z</dcterms:modified>
  <cp:category/>
</cp:coreProperties>
</file>