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9BC30" w14:textId="77777777" w:rsidR="00B51FFD" w:rsidRDefault="00000000">
      <w:pPr>
        <w:pStyle w:val="Title"/>
      </w:pPr>
      <w:r>
        <w:rPr>
          <w:rFonts w:ascii="Arial" w:hAnsi="Arial"/>
        </w:rPr>
        <w:t>Transport Committee HENPS Scrutiny Airlines Freight and Delivery</w:t>
      </w:r>
    </w:p>
    <w:p w14:paraId="0E75430D" w14:textId="77777777" w:rsidR="00B51FFD" w:rsidRDefault="00000000">
      <w:pPr>
        <w:spacing w:after="50" w:line="235" w:lineRule="auto"/>
      </w:pPr>
      <w:r>
        <w:rPr>
          <w:b/>
          <w:color w:val="1F4E79"/>
          <w:sz w:val="22"/>
        </w:rPr>
        <w:t>Briefing note</w:t>
      </w:r>
    </w:p>
    <w:tbl>
      <w:tblPr>
        <w:tblW w:w="0" w:type="auto"/>
        <w:jc w:val="center"/>
        <w:tblLayout w:type="fixed"/>
        <w:tblLook w:val="04A0" w:firstRow="1" w:lastRow="0" w:firstColumn="1" w:lastColumn="0" w:noHBand="0" w:noVBand="1"/>
      </w:tblPr>
      <w:tblGrid>
        <w:gridCol w:w="1944"/>
        <w:gridCol w:w="8568"/>
      </w:tblGrid>
      <w:tr w:rsidR="00B51FFD" w14:paraId="13AFD13E" w14:textId="77777777">
        <w:trPr>
          <w:jc w:val="center"/>
        </w:trPr>
        <w:tc>
          <w:tcPr>
            <w:tcW w:w="1944" w:type="dxa"/>
            <w:shd w:val="clear" w:color="auto" w:fill="D9EAF7"/>
            <w:tcMar>
              <w:top w:w="80" w:type="dxa"/>
              <w:left w:w="100" w:type="dxa"/>
              <w:bottom w:w="80" w:type="dxa"/>
              <w:right w:w="100" w:type="dxa"/>
            </w:tcMar>
            <w:vAlign w:val="center"/>
          </w:tcPr>
          <w:p w14:paraId="4399F362" w14:textId="77777777" w:rsidR="00B51FFD" w:rsidRDefault="00000000">
            <w:pPr>
              <w:spacing w:after="0"/>
            </w:pPr>
            <w:r>
              <w:rPr>
                <w:b/>
                <w:color w:val="1F4E79"/>
                <w:sz w:val="18"/>
              </w:rPr>
              <w:t>Session</w:t>
            </w:r>
          </w:p>
        </w:tc>
        <w:tc>
          <w:tcPr>
            <w:tcW w:w="8568" w:type="dxa"/>
            <w:tcMar>
              <w:top w:w="80" w:type="dxa"/>
              <w:left w:w="100" w:type="dxa"/>
              <w:bottom w:w="80" w:type="dxa"/>
              <w:right w:w="100" w:type="dxa"/>
            </w:tcMar>
            <w:vAlign w:val="center"/>
          </w:tcPr>
          <w:p w14:paraId="041AD025" w14:textId="77777777" w:rsidR="00B51FFD" w:rsidRDefault="00000000">
            <w:pPr>
              <w:spacing w:after="0"/>
            </w:pPr>
            <w:r>
              <w:rPr>
                <w:sz w:val="18"/>
              </w:rPr>
              <w:t>9 September 2026 at 9.15 am</w:t>
            </w:r>
          </w:p>
        </w:tc>
      </w:tr>
      <w:tr w:rsidR="00B51FFD" w14:paraId="0832947B" w14:textId="77777777">
        <w:trPr>
          <w:jc w:val="center"/>
        </w:trPr>
        <w:tc>
          <w:tcPr>
            <w:tcW w:w="1944" w:type="dxa"/>
            <w:shd w:val="clear" w:color="auto" w:fill="D9EAF7"/>
            <w:tcMar>
              <w:top w:w="80" w:type="dxa"/>
              <w:left w:w="100" w:type="dxa"/>
              <w:bottom w:w="80" w:type="dxa"/>
              <w:right w:w="100" w:type="dxa"/>
            </w:tcMar>
            <w:vAlign w:val="center"/>
          </w:tcPr>
          <w:p w14:paraId="5AFAFB08" w14:textId="77777777" w:rsidR="00B51FFD" w:rsidRDefault="00000000">
            <w:pPr>
              <w:spacing w:after="0"/>
            </w:pPr>
            <w:r>
              <w:rPr>
                <w:b/>
                <w:color w:val="1F4E79"/>
                <w:sz w:val="18"/>
              </w:rPr>
              <w:t>Questions</w:t>
            </w:r>
          </w:p>
        </w:tc>
        <w:tc>
          <w:tcPr>
            <w:tcW w:w="8568" w:type="dxa"/>
            <w:tcMar>
              <w:top w:w="80" w:type="dxa"/>
              <w:left w:w="100" w:type="dxa"/>
              <w:bottom w:w="80" w:type="dxa"/>
              <w:right w:w="100" w:type="dxa"/>
            </w:tcMar>
            <w:vAlign w:val="center"/>
          </w:tcPr>
          <w:p w14:paraId="697D54FE" w14:textId="77777777" w:rsidR="00B51FFD" w:rsidRDefault="00000000">
            <w:pPr>
              <w:spacing w:after="0"/>
            </w:pPr>
            <w:r>
              <w:rPr>
                <w:sz w:val="18"/>
              </w:rPr>
              <w:t>Q187 to Q243</w:t>
            </w:r>
          </w:p>
        </w:tc>
      </w:tr>
      <w:tr w:rsidR="00B51FFD" w14:paraId="1BB771FC" w14:textId="77777777">
        <w:trPr>
          <w:jc w:val="center"/>
        </w:trPr>
        <w:tc>
          <w:tcPr>
            <w:tcW w:w="1944" w:type="dxa"/>
            <w:shd w:val="clear" w:color="auto" w:fill="D9EAF7"/>
            <w:tcMar>
              <w:top w:w="80" w:type="dxa"/>
              <w:left w:w="100" w:type="dxa"/>
              <w:bottom w:w="80" w:type="dxa"/>
              <w:right w:w="100" w:type="dxa"/>
            </w:tcMar>
            <w:vAlign w:val="center"/>
          </w:tcPr>
          <w:p w14:paraId="1776DDFF" w14:textId="77777777" w:rsidR="00B51FFD" w:rsidRDefault="00000000">
            <w:pPr>
              <w:spacing w:after="0"/>
            </w:pPr>
            <w:r>
              <w:rPr>
                <w:b/>
                <w:color w:val="1F4E79"/>
                <w:sz w:val="18"/>
              </w:rPr>
              <w:t>Witnesses</w:t>
            </w:r>
          </w:p>
        </w:tc>
        <w:tc>
          <w:tcPr>
            <w:tcW w:w="8568" w:type="dxa"/>
            <w:tcMar>
              <w:top w:w="80" w:type="dxa"/>
              <w:left w:w="100" w:type="dxa"/>
              <w:bottom w:w="80" w:type="dxa"/>
              <w:right w:w="100" w:type="dxa"/>
            </w:tcMar>
            <w:vAlign w:val="center"/>
          </w:tcPr>
          <w:p w14:paraId="462F32AA" w14:textId="77777777" w:rsidR="00B51FFD" w:rsidRDefault="00000000">
            <w:pPr>
              <w:spacing w:after="0"/>
            </w:pPr>
            <w:r>
              <w:rPr>
                <w:sz w:val="18"/>
              </w:rPr>
              <w:t>Dr Lucy Budd; Sophie Dekkers, easyJet; Ben Garratt, Logistics UK; Jonathan Sullivan, IAG; Nigel Wicking, Airline Operators Committee</w:t>
            </w:r>
          </w:p>
        </w:tc>
      </w:tr>
      <w:tr w:rsidR="00B51FFD" w14:paraId="6CC8A828" w14:textId="77777777">
        <w:trPr>
          <w:jc w:val="center"/>
        </w:trPr>
        <w:tc>
          <w:tcPr>
            <w:tcW w:w="1944" w:type="dxa"/>
            <w:shd w:val="clear" w:color="auto" w:fill="D9EAF7"/>
            <w:tcMar>
              <w:top w:w="80" w:type="dxa"/>
              <w:left w:w="100" w:type="dxa"/>
              <w:bottom w:w="80" w:type="dxa"/>
              <w:right w:w="100" w:type="dxa"/>
            </w:tcMar>
            <w:vAlign w:val="center"/>
          </w:tcPr>
          <w:p w14:paraId="679C9C4C" w14:textId="77777777" w:rsidR="00B51FFD" w:rsidRDefault="00000000">
            <w:pPr>
              <w:spacing w:after="0"/>
            </w:pPr>
            <w:r>
              <w:rPr>
                <w:b/>
                <w:color w:val="1F4E79"/>
                <w:sz w:val="18"/>
              </w:rPr>
              <w:t>Focus</w:t>
            </w:r>
          </w:p>
        </w:tc>
        <w:tc>
          <w:tcPr>
            <w:tcW w:w="8568" w:type="dxa"/>
            <w:tcMar>
              <w:top w:w="80" w:type="dxa"/>
              <w:left w:w="100" w:type="dxa"/>
              <w:bottom w:w="80" w:type="dxa"/>
              <w:right w:w="100" w:type="dxa"/>
            </w:tcMar>
            <w:vAlign w:val="center"/>
          </w:tcPr>
          <w:p w14:paraId="7E2501F2" w14:textId="77777777" w:rsidR="00B51FFD" w:rsidRDefault="00000000">
            <w:pPr>
              <w:spacing w:after="0"/>
            </w:pPr>
            <w:r>
              <w:rPr>
                <w:sz w:val="18"/>
              </w:rPr>
              <w:t>Hub economics, demand, freight, domestic links, runway design, affordability and risk</w:t>
            </w:r>
          </w:p>
        </w:tc>
      </w:tr>
    </w:tbl>
    <w:p w14:paraId="68E8017D" w14:textId="77777777" w:rsidR="00B51FFD" w:rsidRDefault="00B51FFD">
      <w:pPr>
        <w:spacing w:after="50" w:line="235" w:lineRule="auto"/>
      </w:pPr>
    </w:p>
    <w:p w14:paraId="278DF519" w14:textId="77777777" w:rsidR="00B51FFD" w:rsidRDefault="00000000">
      <w:pPr>
        <w:pStyle w:val="Heading1"/>
      </w:pPr>
      <w:r>
        <w:t>Overview</w:t>
      </w:r>
    </w:p>
    <w:p w14:paraId="0C008E03" w14:textId="77777777" w:rsidR="00B51FFD" w:rsidRDefault="00000000">
      <w:pPr>
        <w:spacing w:after="50" w:line="235" w:lineRule="auto"/>
      </w:pPr>
      <w:r>
        <w:rPr>
          <w:sz w:val="20"/>
        </w:rPr>
        <w:t>Industry witnesses supported additional aviation capacity and, with qualifications, Heathrow expansion, but their support was conditional on affordability, deliverability and an improved regulatory model. They defended the continued value of a hub for long-haul connectivity and belly-hold cargo, while acknowledging the growth of point-to-point services and leisure travel. The sharpest evidence concerned cost: witnesses said Heathrow is already the world’s most expensive airport, warned that charges could rise from about £26 to £65 per passenger, and argued that even a £5 to £7 real increase could undermine short-haul economics. Most did not accept that a 3,500 metre runway was necessary from the outset, and airlines objected to passengers funding early development costs without Heathrow shareholders bearing equivalent risk.</w:t>
      </w:r>
    </w:p>
    <w:p w14:paraId="0C54B8F9" w14:textId="77777777" w:rsidR="00B51FFD" w:rsidRDefault="00000000">
      <w:pPr>
        <w:pStyle w:val="Heading1"/>
      </w:pPr>
      <w:r>
        <w:t>Key highlights</w:t>
      </w:r>
    </w:p>
    <w:p w14:paraId="2948DE8F" w14:textId="77777777" w:rsidR="00B51FFD" w:rsidRDefault="00000000">
      <w:pPr>
        <w:pStyle w:val="Heading2"/>
      </w:pPr>
      <w:r>
        <w:t>Changes since 2018 and the hub case</w:t>
      </w:r>
    </w:p>
    <w:p w14:paraId="6B8ECCF8" w14:textId="77777777" w:rsidR="00B51FFD" w:rsidRDefault="00000000">
      <w:pPr>
        <w:spacing w:after="50" w:line="235" w:lineRule="auto"/>
      </w:pPr>
      <w:r>
        <w:rPr>
          <w:sz w:val="20"/>
        </w:rPr>
        <w:t>Budd identified the fall in business travel, rise in leisure demand, geopolitical change and stronger environmental policy as material changes since 2018. She also found the HENPS unclear about whether its principal objective is domestic or international connectivity. The airline witnesses said the draft gives insufficient weight to Heathrow’s status as the UK’s sole hub and insufficient protection to affordability (Q188).</w:t>
      </w:r>
    </w:p>
    <w:p w14:paraId="605A28B3" w14:textId="77777777" w:rsidR="00B51FFD" w:rsidRDefault="00000000">
      <w:pPr>
        <w:spacing w:after="50" w:line="235" w:lineRule="auto"/>
      </w:pPr>
      <w:r>
        <w:rPr>
          <w:sz w:val="20"/>
        </w:rPr>
        <w:t>Sullivan said about 90% of long-haul flights touch a hub at one end, more than half of long-haul passengers connect, and 45% of Heathrow passengers connected in 2024. Connecting traffic supports frequencies and routes that would not be viable on local demand alone, as well as marginal-cost belly-hold freight. Budd agreed that hub-and-spoke economics would persist, while stressing that point-to-point growth and hub bypassing are complementary trends and that extra runway capacity does not automatically create connectivity (Q189 to Q199).</w:t>
      </w:r>
    </w:p>
    <w:p w14:paraId="7DD8365D" w14:textId="77777777" w:rsidR="00B51FFD" w:rsidRDefault="00000000">
      <w:pPr>
        <w:pStyle w:val="Heading2"/>
      </w:pPr>
      <w:r>
        <w:t>Demand business travel and employment</w:t>
      </w:r>
    </w:p>
    <w:p w14:paraId="6AAA77BB" w14:textId="77777777" w:rsidR="00B51FFD" w:rsidRDefault="00000000">
      <w:pPr>
        <w:spacing w:after="50" w:line="235" w:lineRule="auto"/>
      </w:pPr>
      <w:r>
        <w:rPr>
          <w:sz w:val="20"/>
        </w:rPr>
        <w:t>easyJet expected passenger demand to grow and said constrained London and regional peak capacity is diverting aircraft investment elsewhere in Europe. Dekkers described short-haul business travel as recovering differently from corporate long-haul travel, with SMEs and commuting forming a larger share. She confirmed that much current growth is leisure and predominantly outbound; easyJet’s beach capacity had risen from about one quarter before the pandemic to roughly two thirds. Budd noted DfT figures showing pure business travel falling from 19% of passengers in 2019 to 13% in 2024 (Q200 to Q216).</w:t>
      </w:r>
    </w:p>
    <w:p w14:paraId="28C03B25" w14:textId="77777777" w:rsidR="00B51FFD" w:rsidRDefault="00000000">
      <w:pPr>
        <w:spacing w:after="50" w:line="235" w:lineRule="auto"/>
      </w:pPr>
      <w:r>
        <w:rPr>
          <w:sz w:val="20"/>
        </w:rPr>
        <w:t>Airlines rejected the claim that Heathrow growth would simply displace regional employment. Sullivan cited analysis suggesting that a UK-based aircraft supports four times as many jobs as an overseas-based aircraft, rising further for wide-bodies. The counterpoint remained that future passenger composition at an expanded Heathrow was not clearly quantified: IAG and the Airline Operators Committee undertook to provide the Committee with figures (Q200 to Q215).</w:t>
      </w:r>
    </w:p>
    <w:p w14:paraId="71A9B7BB" w14:textId="77777777" w:rsidR="00B51FFD" w:rsidRDefault="00000000">
      <w:pPr>
        <w:pStyle w:val="Heading2"/>
      </w:pPr>
      <w:r>
        <w:t>Freight and surface access</w:t>
      </w:r>
    </w:p>
    <w:p w14:paraId="16FA711B" w14:textId="77777777" w:rsidR="00B51FFD" w:rsidRDefault="00000000">
      <w:pPr>
        <w:spacing w:after="50" w:line="235" w:lineRule="auto"/>
      </w:pPr>
      <w:r>
        <w:rPr>
          <w:sz w:val="20"/>
        </w:rPr>
        <w:t>Garratt said holding freight at 2019 levels materially understates the economic case. Heathrow moves more air cargo by weight and value than any other UK airport even after excluding gold, and its wide-body network serves time-sensitive trade and supply-chain resilience. The benefits are difficult to isolate because air cargo is one stage in an end-to-end logistics chain, but this is a reason to improve the modelling rather than omit growth (Q195, Q197 and Q217).</w:t>
      </w:r>
    </w:p>
    <w:p w14:paraId="20D1C924" w14:textId="77777777" w:rsidR="00B51FFD" w:rsidRDefault="00000000">
      <w:pPr>
        <w:spacing w:after="50" w:line="235" w:lineRule="auto"/>
      </w:pPr>
      <w:r>
        <w:rPr>
          <w:sz w:val="20"/>
        </w:rPr>
        <w:t xml:space="preserve">The evidence distinguished Heathrow’s belly-hold model from dedicated freighter and integrator operations at East Midlands and Stansted, where night operations are less constrained. Freight growth also depends on modern cargo handling, road reliability and rail capacity. Logistics UK called for rail freight to move construction material, likely requiring sidings or terminals, and for a network view of the M4, M25 and local cargo roads. Airlines objected </w:t>
      </w:r>
      <w:r>
        <w:rPr>
          <w:sz w:val="20"/>
        </w:rPr>
        <w:lastRenderedPageBreak/>
        <w:t>to the change from a user-pays approach for shared surface access towards charging aviation users for all improvements (Q218 to Q224).</w:t>
      </w:r>
    </w:p>
    <w:p w14:paraId="2B1E23A0" w14:textId="77777777" w:rsidR="00B51FFD" w:rsidRDefault="00000000">
      <w:pPr>
        <w:pStyle w:val="Heading2"/>
      </w:pPr>
      <w:r>
        <w:t>Domestic connectivity and operational design</w:t>
      </w:r>
    </w:p>
    <w:p w14:paraId="3E4977C8" w14:textId="77777777" w:rsidR="00B51FFD" w:rsidRDefault="00000000">
      <w:pPr>
        <w:spacing w:after="50" w:line="235" w:lineRule="auto"/>
      </w:pPr>
      <w:r>
        <w:rPr>
          <w:sz w:val="20"/>
        </w:rPr>
        <w:t>Airlines opposed prescriptive ringfencing of domestic slots, arguing that affordable charges, efficient terminals and adequate runway capacity would make domestic routes commercially viable. BA currently provides more than 95% of Heathrow’s domestic connectivity. easyJet said the halving of domestic Air Passenger Duty had supported a 30% capacity increase and emphasised 35-minute turnarounds, dual-door boarding and baggage connections as practical requirements for a low-cost operation at a hub (Q225 to Q228).</w:t>
      </w:r>
    </w:p>
    <w:p w14:paraId="23851883" w14:textId="77777777" w:rsidR="00B51FFD" w:rsidRDefault="00000000">
      <w:pPr>
        <w:spacing w:after="50" w:line="235" w:lineRule="auto"/>
      </w:pPr>
      <w:r>
        <w:rPr>
          <w:sz w:val="20"/>
        </w:rPr>
        <w:t>Witnesses stressed that airspace modernisation must accompany ground capacity. Dekkers said it could reduce fuel burn by about 10%, but noted that little progress had been made since she gave evidence in 2018. Budd argued that airspace design directly affects deliverable movements, noise, emissions and efficiency and deserved much greater attention in the HENPS (Q231 and Q232).</w:t>
      </w:r>
    </w:p>
    <w:p w14:paraId="440A1FCC" w14:textId="77777777" w:rsidR="00B51FFD" w:rsidRDefault="00000000">
      <w:pPr>
        <w:pStyle w:val="Heading2"/>
      </w:pPr>
      <w:r>
        <w:t>Runway length delivery and affordability</w:t>
      </w:r>
    </w:p>
    <w:p w14:paraId="5372B684" w14:textId="77777777" w:rsidR="00B51FFD" w:rsidRDefault="00000000">
      <w:pPr>
        <w:spacing w:after="50" w:line="235" w:lineRule="auto"/>
      </w:pPr>
      <w:r>
        <w:rPr>
          <w:sz w:val="20"/>
        </w:rPr>
        <w:t>Only Logistics UK unequivocally supported the proposition that a 3,500 metre runway was necessary; IAG, easyJet and the Airline Operators Committee disagreed. Garratt linked the longer runway to wide-body long-haul cargo capacity. Wicking favoured a phased shorter runway to reduce the initial need to move the M25, fuel railhead, electricity infrastructure, lakes and a river, and to lower cost and construction risk. He also wanted the HENPS to remain open to alternative promoters (Q223, Q224, Q229 and Q230).</w:t>
      </w:r>
    </w:p>
    <w:p w14:paraId="72D0C4E2" w14:textId="77777777" w:rsidR="00B51FFD" w:rsidRDefault="00000000">
      <w:pPr>
        <w:spacing w:after="50" w:line="235" w:lineRule="auto"/>
      </w:pPr>
      <w:r>
        <w:rPr>
          <w:sz w:val="20"/>
        </w:rPr>
        <w:t>Airline witnesses sought affordability as a fundamental overriding HENPS principle, independently assured and carried through into CAA regulation. Wicking said charges above about £31 or £32 per passenger would begin to cause airlines to consider alternative routings; Sullivan cited analysis that a £5 to £7 real increase could break short-haul economics. Dekkers used Schiphol, where combined charges and tax were said to be €75, as an example of short-haul capacity being withdrawn and redeployed to longer leisure routes (Q231 to Q237).</w:t>
      </w:r>
    </w:p>
    <w:p w14:paraId="4E1E17A0" w14:textId="77777777" w:rsidR="00B51FFD" w:rsidRDefault="00000000">
      <w:pPr>
        <w:pStyle w:val="Heading2"/>
      </w:pPr>
      <w:r>
        <w:t>Regulation and allocation of risk</w:t>
      </w:r>
    </w:p>
    <w:p w14:paraId="737D22F9" w14:textId="77777777" w:rsidR="00B51FFD" w:rsidRDefault="00000000">
      <w:pPr>
        <w:spacing w:after="50" w:line="235" w:lineRule="auto"/>
      </w:pPr>
      <w:r>
        <w:rPr>
          <w:sz w:val="20"/>
        </w:rPr>
        <w:t>Sullivan favoured fuller competition for capital investment and longer-term capital governance under the CAA’s regulatory review. He said Heathrow’s early development spending is added to its regulated asset base and recovered through passenger charges: about £490 million from earlier work and a further £320 million authorised in 2026. Wicking warned that up to another £6 billion could be spent before the DCO decision, with £5.8 billion under consideration for the next control period. Heathrow spends the money but can recover it; airlines and passengers bear the exposure if expansion does not proceed (Q237 to Q243).</w:t>
      </w:r>
    </w:p>
    <w:p w14:paraId="22B3A019" w14:textId="77777777" w:rsidR="00B51FFD" w:rsidRDefault="00000000">
      <w:pPr>
        <w:pStyle w:val="Heading1"/>
      </w:pPr>
      <w:r>
        <w:t>Points of particular significance</w:t>
      </w:r>
    </w:p>
    <w:p w14:paraId="60119973" w14:textId="77777777" w:rsidR="00B51FFD" w:rsidRDefault="00000000">
      <w:pPr>
        <w:pStyle w:val="ListBullet"/>
        <w:spacing w:after="50" w:line="235" w:lineRule="auto"/>
        <w:ind w:left="317" w:hanging="216"/>
      </w:pPr>
      <w:r>
        <w:rPr>
          <w:sz w:val="20"/>
        </w:rPr>
        <w:t>Support for expansion was conditional rather than unconditional; affordability was the decisive test for airlines.</w:t>
      </w:r>
    </w:p>
    <w:p w14:paraId="1E38BDBA" w14:textId="77777777" w:rsidR="00B51FFD" w:rsidRDefault="00000000">
      <w:pPr>
        <w:pStyle w:val="ListBullet"/>
        <w:spacing w:after="50" w:line="235" w:lineRule="auto"/>
        <w:ind w:left="317" w:hanging="216"/>
      </w:pPr>
      <w:r>
        <w:rPr>
          <w:sz w:val="20"/>
        </w:rPr>
        <w:t>The evidence strongly supported a continuing hub role but did not establish that all additional capacity would produce new routes, domestic links or business travel.</w:t>
      </w:r>
    </w:p>
    <w:p w14:paraId="01D34019" w14:textId="77777777" w:rsidR="00B51FFD" w:rsidRDefault="00000000">
      <w:pPr>
        <w:pStyle w:val="ListBullet"/>
        <w:spacing w:after="50" w:line="235" w:lineRule="auto"/>
        <w:ind w:left="317" w:hanging="216"/>
      </w:pPr>
      <w:r>
        <w:rPr>
          <w:sz w:val="20"/>
        </w:rPr>
        <w:t>The HENPS freight assumption at 2019 levels omits expected belly-hold growth and wider productivity and resilience benefits.</w:t>
      </w:r>
    </w:p>
    <w:p w14:paraId="204EA30D" w14:textId="77777777" w:rsidR="00B51FFD" w:rsidRDefault="00000000">
      <w:pPr>
        <w:pStyle w:val="ListBullet"/>
        <w:spacing w:after="50" w:line="235" w:lineRule="auto"/>
        <w:ind w:left="317" w:hanging="216"/>
      </w:pPr>
      <w:r>
        <w:rPr>
          <w:sz w:val="20"/>
        </w:rPr>
        <w:t>A 3,500 metre runway divides freight interests from most passenger airlines and raises major phasing and construction-risk questions.</w:t>
      </w:r>
    </w:p>
    <w:p w14:paraId="03D1E466" w14:textId="77777777" w:rsidR="00B51FFD" w:rsidRDefault="00000000">
      <w:pPr>
        <w:pStyle w:val="ListBullet"/>
        <w:spacing w:after="50" w:line="235" w:lineRule="auto"/>
        <w:ind w:left="317" w:hanging="216"/>
      </w:pPr>
      <w:r>
        <w:rPr>
          <w:sz w:val="20"/>
        </w:rPr>
        <w:t>Airspace, terminal processes, baggage transfer, cargo handling and surface access are integral to usable capacity, not secondary matters.</w:t>
      </w:r>
    </w:p>
    <w:p w14:paraId="2633C9CA" w14:textId="77777777" w:rsidR="00B51FFD" w:rsidRDefault="00000000">
      <w:pPr>
        <w:pStyle w:val="ListBullet"/>
        <w:spacing w:after="50" w:line="235" w:lineRule="auto"/>
        <w:ind w:left="317" w:hanging="216"/>
      </w:pPr>
      <w:r>
        <w:rPr>
          <w:sz w:val="20"/>
        </w:rPr>
        <w:t>The regulated asset base currently protects Heathrow’s recovery of development spending while exposing incumbent airlines and passengers to costs even if the project fails.</w:t>
      </w:r>
    </w:p>
    <w:p w14:paraId="2BD10EB8" w14:textId="77777777" w:rsidR="00B51FFD" w:rsidRDefault="00000000">
      <w:pPr>
        <w:pStyle w:val="Heading1"/>
      </w:pPr>
      <w:r>
        <w:t>Overall assessment</w:t>
      </w:r>
    </w:p>
    <w:p w14:paraId="0E2E7580" w14:textId="77777777" w:rsidR="00B51FFD" w:rsidRDefault="00000000">
      <w:pPr>
        <w:spacing w:after="50" w:line="235" w:lineRule="auto"/>
      </w:pPr>
      <w:r>
        <w:rPr>
          <w:sz w:val="20"/>
        </w:rPr>
        <w:t>The session demonstrated that the strategic case and the commercial scheme cannot be separated. Airlines largely accepted the case for more hub capacity, but disputed the promoter’s apparent cost, runway specification and risk allocation. Freight evidence strengthened the economic case but also pointed to distinct markets that Heathrow cannot serve well, particularly night-time integrator operations. The Committee’s central task is therefore to test whether the HENPS secures usable and affordable capacity, rather than merely permitting a runway, and whether its regulatory provisions align the promoter’s incentives with airline investment, passenger demand and national connectivity.</w:t>
      </w:r>
    </w:p>
    <w:p w14:paraId="275E5C02" w14:textId="77777777" w:rsidR="00B51FFD" w:rsidRDefault="00000000">
      <w:pPr>
        <w:spacing w:before="140" w:after="50" w:line="235" w:lineRule="auto"/>
      </w:pPr>
      <w:r>
        <w:rPr>
          <w:i/>
          <w:color w:val="666666"/>
          <w:sz w:val="17"/>
        </w:rPr>
        <w:t>Source: Transport Committee oral evidence, Scrutiny of the draft Heathrow Expansion National Policy Statement, 9 September 2026, Questions 187–243.</w:t>
      </w:r>
    </w:p>
    <w:sectPr w:rsidR="00B51FFD" w:rsidSect="00034616">
      <w:headerReference w:type="default" r:id="rId8"/>
      <w:footerReference w:type="default" r:id="rId9"/>
      <w:pgSz w:w="12240" w:h="15840"/>
      <w:pgMar w:top="936" w:right="1037" w:bottom="893" w:left="1037"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9010" w14:textId="77777777" w:rsidR="006A2209" w:rsidRDefault="006A2209">
      <w:pPr>
        <w:spacing w:after="0"/>
      </w:pPr>
      <w:r>
        <w:separator/>
      </w:r>
    </w:p>
  </w:endnote>
  <w:endnote w:type="continuationSeparator" w:id="0">
    <w:p w14:paraId="0998022D" w14:textId="77777777" w:rsidR="006A2209" w:rsidRDefault="006A22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6805" w14:textId="77777777" w:rsidR="00B51FFD" w:rsidRDefault="00000000">
    <w:pPr>
      <w:pStyle w:val="Footer"/>
      <w:jc w:val="right"/>
    </w:pPr>
    <w:r>
      <w:rPr>
        <w:color w:val="666666"/>
        <w:sz w:val="16"/>
      </w:rPr>
      <w:t xml:space="preserve">Page </w:t>
    </w:r>
    <w:r>
      <w:fldChar w:fldCharType="begin"/>
    </w:r>
    <w:r>
      <w:instrText>PAGE</w:instrText>
    </w:r>
    <w:r>
      <w:fldChar w:fldCharType="separate"/>
    </w:r>
    <w:r w:rsidR="00221A3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155F0" w14:textId="77777777" w:rsidR="006A2209" w:rsidRDefault="006A2209">
      <w:pPr>
        <w:spacing w:after="0"/>
      </w:pPr>
      <w:r>
        <w:separator/>
      </w:r>
    </w:p>
  </w:footnote>
  <w:footnote w:type="continuationSeparator" w:id="0">
    <w:p w14:paraId="2F921C73" w14:textId="77777777" w:rsidR="006A2209" w:rsidRDefault="006A220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619D" w14:textId="77777777" w:rsidR="00B51FFD" w:rsidRDefault="00000000">
    <w:pPr>
      <w:pStyle w:val="Header"/>
      <w:jc w:val="right"/>
    </w:pPr>
    <w:r>
      <w:rPr>
        <w:b/>
        <w:color w:val="1F4E79"/>
        <w:sz w:val="16"/>
      </w:rPr>
      <w:t>Transport Committee HENPS scrutiny 9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0003419">
    <w:abstractNumId w:val="8"/>
  </w:num>
  <w:num w:numId="2" w16cid:durableId="2098742416">
    <w:abstractNumId w:val="6"/>
  </w:num>
  <w:num w:numId="3" w16cid:durableId="1896352590">
    <w:abstractNumId w:val="5"/>
  </w:num>
  <w:num w:numId="4" w16cid:durableId="610629712">
    <w:abstractNumId w:val="4"/>
  </w:num>
  <w:num w:numId="5" w16cid:durableId="616529058">
    <w:abstractNumId w:val="7"/>
  </w:num>
  <w:num w:numId="6" w16cid:durableId="1458139974">
    <w:abstractNumId w:val="3"/>
  </w:num>
  <w:num w:numId="7" w16cid:durableId="1217669857">
    <w:abstractNumId w:val="2"/>
  </w:num>
  <w:num w:numId="8" w16cid:durableId="550457555">
    <w:abstractNumId w:val="1"/>
  </w:num>
  <w:num w:numId="9" w16cid:durableId="96855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1A3D"/>
    <w:rsid w:val="0029639D"/>
    <w:rsid w:val="00326F90"/>
    <w:rsid w:val="006A2209"/>
    <w:rsid w:val="00761771"/>
    <w:rsid w:val="00AA1D8D"/>
    <w:rsid w:val="00B47730"/>
    <w:rsid w:val="00B51FF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D8036"/>
  <w14:defaultImageDpi w14:val="300"/>
  <w15:docId w15:val="{5A44E160-0BD4-4574-A8C2-2221895C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color w:val="000000"/>
      <w:sz w:val="19"/>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Lesley Smith</cp:lastModifiedBy>
  <cp:revision>2</cp:revision>
  <dcterms:created xsi:type="dcterms:W3CDTF">2026-09-17T09:19:00Z</dcterms:created>
  <dcterms:modified xsi:type="dcterms:W3CDTF">2026-09-17T09:19:00Z</dcterms:modified>
  <cp:category/>
</cp:coreProperties>
</file>