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A72F7" w14:textId="77777777" w:rsidR="00F31831" w:rsidRDefault="00000000">
      <w:pPr>
        <w:pStyle w:val="Title"/>
      </w:pPr>
      <w:r>
        <w:rPr>
          <w:rFonts w:ascii="Arial" w:hAnsi="Arial"/>
        </w:rPr>
        <w:t>Transport Committee HENPS Scrutiny Air Quality Noise and Health</w:t>
      </w:r>
    </w:p>
    <w:p w14:paraId="54C95EA5" w14:textId="77777777" w:rsidR="00F31831" w:rsidRDefault="00000000">
      <w:pPr>
        <w:spacing w:after="160"/>
      </w:pPr>
      <w:r>
        <w:rPr>
          <w:b/>
          <w:color w:val="1F4E79"/>
          <w:sz w:val="22"/>
        </w:rPr>
        <w:t>Briefing note</w:t>
      </w:r>
    </w:p>
    <w:tbl>
      <w:tblPr>
        <w:tblW w:w="0" w:type="auto"/>
        <w:jc w:val="center"/>
        <w:tblLayout w:type="fixed"/>
        <w:tblLook w:val="04A0" w:firstRow="1" w:lastRow="0" w:firstColumn="1" w:lastColumn="0" w:noHBand="0" w:noVBand="1"/>
      </w:tblPr>
      <w:tblGrid>
        <w:gridCol w:w="1944"/>
        <w:gridCol w:w="8568"/>
      </w:tblGrid>
      <w:tr w:rsidR="00F31831" w14:paraId="797299CB" w14:textId="77777777">
        <w:trPr>
          <w:jc w:val="center"/>
        </w:trPr>
        <w:tc>
          <w:tcPr>
            <w:tcW w:w="1944" w:type="dxa"/>
            <w:shd w:val="clear" w:color="auto" w:fill="D9EAF7"/>
            <w:tcMar>
              <w:top w:w="80" w:type="dxa"/>
              <w:left w:w="100" w:type="dxa"/>
              <w:bottom w:w="80" w:type="dxa"/>
              <w:right w:w="100" w:type="dxa"/>
            </w:tcMar>
            <w:vAlign w:val="center"/>
          </w:tcPr>
          <w:p w14:paraId="4C40D5F4" w14:textId="77777777" w:rsidR="00F31831" w:rsidRDefault="00000000">
            <w:pPr>
              <w:spacing w:after="0"/>
            </w:pPr>
            <w:r>
              <w:rPr>
                <w:b/>
                <w:color w:val="1F4E79"/>
                <w:sz w:val="18"/>
              </w:rPr>
              <w:t>Session</w:t>
            </w:r>
          </w:p>
        </w:tc>
        <w:tc>
          <w:tcPr>
            <w:tcW w:w="8568" w:type="dxa"/>
            <w:tcMar>
              <w:top w:w="80" w:type="dxa"/>
              <w:left w:w="100" w:type="dxa"/>
              <w:bottom w:w="80" w:type="dxa"/>
              <w:right w:w="100" w:type="dxa"/>
            </w:tcMar>
            <w:vAlign w:val="center"/>
          </w:tcPr>
          <w:p w14:paraId="6E5CCEB3" w14:textId="77777777" w:rsidR="00F31831" w:rsidRDefault="00000000">
            <w:pPr>
              <w:spacing w:after="0"/>
            </w:pPr>
            <w:r>
              <w:rPr>
                <w:sz w:val="18"/>
              </w:rPr>
              <w:t>8 September 2026 at 5 pm</w:t>
            </w:r>
          </w:p>
        </w:tc>
      </w:tr>
      <w:tr w:rsidR="00F31831" w14:paraId="502261BE" w14:textId="77777777">
        <w:trPr>
          <w:jc w:val="center"/>
        </w:trPr>
        <w:tc>
          <w:tcPr>
            <w:tcW w:w="1944" w:type="dxa"/>
            <w:shd w:val="clear" w:color="auto" w:fill="D9EAF7"/>
            <w:tcMar>
              <w:top w:w="80" w:type="dxa"/>
              <w:left w:w="100" w:type="dxa"/>
              <w:bottom w:w="80" w:type="dxa"/>
              <w:right w:w="100" w:type="dxa"/>
            </w:tcMar>
            <w:vAlign w:val="center"/>
          </w:tcPr>
          <w:p w14:paraId="3C82E8D2" w14:textId="77777777" w:rsidR="00F31831" w:rsidRDefault="00000000">
            <w:pPr>
              <w:spacing w:after="0"/>
            </w:pPr>
            <w:r>
              <w:rPr>
                <w:b/>
                <w:color w:val="1F4E79"/>
                <w:sz w:val="18"/>
              </w:rPr>
              <w:t>Questions</w:t>
            </w:r>
          </w:p>
        </w:tc>
        <w:tc>
          <w:tcPr>
            <w:tcW w:w="8568" w:type="dxa"/>
            <w:tcMar>
              <w:top w:w="80" w:type="dxa"/>
              <w:left w:w="100" w:type="dxa"/>
              <w:bottom w:w="80" w:type="dxa"/>
              <w:right w:w="100" w:type="dxa"/>
            </w:tcMar>
            <w:vAlign w:val="center"/>
          </w:tcPr>
          <w:p w14:paraId="052AA5AC" w14:textId="77777777" w:rsidR="00F31831" w:rsidRDefault="00000000">
            <w:pPr>
              <w:spacing w:after="0"/>
            </w:pPr>
            <w:r>
              <w:rPr>
                <w:sz w:val="18"/>
              </w:rPr>
              <w:t>Q140 to Q186</w:t>
            </w:r>
          </w:p>
        </w:tc>
      </w:tr>
      <w:tr w:rsidR="00F31831" w14:paraId="6580F976" w14:textId="77777777">
        <w:trPr>
          <w:jc w:val="center"/>
        </w:trPr>
        <w:tc>
          <w:tcPr>
            <w:tcW w:w="1944" w:type="dxa"/>
            <w:shd w:val="clear" w:color="auto" w:fill="D9EAF7"/>
            <w:tcMar>
              <w:top w:w="80" w:type="dxa"/>
              <w:left w:w="100" w:type="dxa"/>
              <w:bottom w:w="80" w:type="dxa"/>
              <w:right w:w="100" w:type="dxa"/>
            </w:tcMar>
            <w:vAlign w:val="center"/>
          </w:tcPr>
          <w:p w14:paraId="520CA0F2" w14:textId="77777777" w:rsidR="00F31831" w:rsidRDefault="00000000">
            <w:pPr>
              <w:spacing w:after="0"/>
            </w:pPr>
            <w:r>
              <w:rPr>
                <w:b/>
                <w:color w:val="1F4E79"/>
                <w:sz w:val="18"/>
              </w:rPr>
              <w:t>Witnesses</w:t>
            </w:r>
          </w:p>
        </w:tc>
        <w:tc>
          <w:tcPr>
            <w:tcW w:w="8568" w:type="dxa"/>
            <w:tcMar>
              <w:top w:w="80" w:type="dxa"/>
              <w:left w:w="100" w:type="dxa"/>
              <w:bottom w:w="80" w:type="dxa"/>
              <w:right w:w="100" w:type="dxa"/>
            </w:tcMar>
            <w:vAlign w:val="center"/>
          </w:tcPr>
          <w:p w14:paraId="49874578" w14:textId="77777777" w:rsidR="00F31831" w:rsidRDefault="00000000">
            <w:pPr>
              <w:spacing w:after="0"/>
            </w:pPr>
            <w:r>
              <w:rPr>
                <w:sz w:val="18"/>
              </w:rPr>
              <w:t>Professor Charlotte Clark; Professor Anna Hansell; Professor Alastair Lewis</w:t>
            </w:r>
          </w:p>
        </w:tc>
      </w:tr>
      <w:tr w:rsidR="00F31831" w14:paraId="6CED0745" w14:textId="77777777">
        <w:trPr>
          <w:jc w:val="center"/>
        </w:trPr>
        <w:tc>
          <w:tcPr>
            <w:tcW w:w="1944" w:type="dxa"/>
            <w:shd w:val="clear" w:color="auto" w:fill="D9EAF7"/>
            <w:tcMar>
              <w:top w:w="80" w:type="dxa"/>
              <w:left w:w="100" w:type="dxa"/>
              <w:bottom w:w="80" w:type="dxa"/>
              <w:right w:w="100" w:type="dxa"/>
            </w:tcMar>
            <w:vAlign w:val="center"/>
          </w:tcPr>
          <w:p w14:paraId="1FEF2126" w14:textId="77777777" w:rsidR="00F31831" w:rsidRDefault="00000000">
            <w:pPr>
              <w:spacing w:after="0"/>
            </w:pPr>
            <w:r>
              <w:rPr>
                <w:b/>
                <w:color w:val="1F4E79"/>
                <w:sz w:val="18"/>
              </w:rPr>
              <w:t>Focus</w:t>
            </w:r>
          </w:p>
        </w:tc>
        <w:tc>
          <w:tcPr>
            <w:tcW w:w="8568" w:type="dxa"/>
            <w:tcMar>
              <w:top w:w="80" w:type="dxa"/>
              <w:left w:w="100" w:type="dxa"/>
              <w:bottom w:w="80" w:type="dxa"/>
              <w:right w:w="100" w:type="dxa"/>
            </w:tcMar>
            <w:vAlign w:val="center"/>
          </w:tcPr>
          <w:p w14:paraId="33D77D41" w14:textId="77777777" w:rsidR="00F31831" w:rsidRDefault="00000000">
            <w:pPr>
              <w:spacing w:after="0"/>
            </w:pPr>
            <w:r>
              <w:rPr>
                <w:sz w:val="18"/>
              </w:rPr>
              <w:t>Air quality tests, ultra-fine particles, aircraft noise, public health and mitigation</w:t>
            </w:r>
          </w:p>
        </w:tc>
      </w:tr>
    </w:tbl>
    <w:p w14:paraId="5C3CC80B" w14:textId="77777777" w:rsidR="00F31831" w:rsidRDefault="00F31831">
      <w:pPr>
        <w:spacing w:after="0"/>
      </w:pPr>
    </w:p>
    <w:p w14:paraId="22D33014" w14:textId="77777777" w:rsidR="00F31831" w:rsidRDefault="00000000">
      <w:pPr>
        <w:pStyle w:val="Heading1"/>
      </w:pPr>
      <w:r>
        <w:t>Overview</w:t>
      </w:r>
    </w:p>
    <w:p w14:paraId="1AE84031" w14:textId="77777777" w:rsidR="00F31831" w:rsidRDefault="00000000">
      <w:r>
        <w:t>The expert panel considered the draft HENPS tests inadequate to protect health over the lifetime of a third runway. On air quality, the test could permit deterioration up to current legal limits, concentrates on a narrow set of regulated pollutants and gives Heathrow no facility-specific emissions budget. On noise, the draft relies on outdated exposure-response evidence, gives insufficient attention to night noise and discrete events, and assumes continuing aircraft noise improvements that the witnesses regarded as uncertain. The panel called for lower assessment thresholds, explicit use of the latest Government-funded studies, wider health outcomes, stronger insulation provisions and long-term health monitoring linked to operational controls.</w:t>
      </w:r>
    </w:p>
    <w:p w14:paraId="5AF351DE" w14:textId="77777777" w:rsidR="00F31831" w:rsidRDefault="00000000">
      <w:pPr>
        <w:pStyle w:val="Heading1"/>
      </w:pPr>
      <w:r>
        <w:t>Key highlights</w:t>
      </w:r>
    </w:p>
    <w:p w14:paraId="4398A916" w14:textId="77777777" w:rsidR="00F31831" w:rsidRDefault="00000000">
      <w:pPr>
        <w:pStyle w:val="Heading2"/>
      </w:pPr>
      <w:r>
        <w:t>Air quality test and legal limits</w:t>
      </w:r>
    </w:p>
    <w:p w14:paraId="529B78FF" w14:textId="77777777" w:rsidR="00F31831" w:rsidRDefault="00000000">
      <w:r>
        <w:t>Lewis described the air quality test as the weakest environmental test because it could allow conditions to worsen until a legal limit is reached. Passing the legal test does not mean that exposure is harmless; regulatory limits represent a maximum permitted level of harm and remain above World Health Organisation health-based guidelines. The policy focuses principally on nitrogen dioxide and PM2.5 under the 2010 regulations and may not capture pollutants that become important during the project’s lifetime (Q141 to Q145).</w:t>
      </w:r>
    </w:p>
    <w:p w14:paraId="317DBDD5" w14:textId="77777777" w:rsidR="00F31831" w:rsidRDefault="00000000">
      <w:r>
        <w:t>Although NO2 concentrations around Heathrow have improved, Lewis attributed much of this to cleaner vehicles funded by households and businesses. Expansion could use up that improvement. He expected continuing road fleet electrification to reduce NO2 and was less concerned about modern construction plant than about the policy principle. The test should anticipate tighter future standards, including the EU’s move from 40 to 20 micrograms per cubic metre for NO2 and possible future controls on ultra-fine particles (Q143 to Q147).</w:t>
      </w:r>
    </w:p>
    <w:p w14:paraId="3FE85D22" w14:textId="77777777" w:rsidR="00F31831" w:rsidRDefault="00000000">
      <w:pPr>
        <w:pStyle w:val="Heading2"/>
      </w:pPr>
      <w:r>
        <w:t>Responsibility and enforcement</w:t>
      </w:r>
    </w:p>
    <w:p w14:paraId="5049C980" w14:textId="77777777" w:rsidR="00F31831" w:rsidRDefault="00000000">
      <w:r>
        <w:t>Lewis said that if a completed runway contributed to a future breach, responsibility would largely return to DEFRA and local authorities, even though councils have few effective levers over airport emissions. Unlike an industrial installation, the airport would not receive a tightly measured emissions permit. The HENPS instead places airport emissions within national NOx and PM2.5 budgets, requiring reductions elsewhere in the economy if aviation emissions rise. He favoured a development-specific emissions budget with monitoring and accountability (Q148 to Q151).</w:t>
      </w:r>
    </w:p>
    <w:p w14:paraId="39C41FC6" w14:textId="77777777" w:rsidR="00F31831" w:rsidRDefault="00000000">
      <w:pPr>
        <w:pStyle w:val="Heading2"/>
      </w:pPr>
      <w:r>
        <w:t>Ultra fine particles and emerging evidence</w:t>
      </w:r>
    </w:p>
    <w:p w14:paraId="3403B477" w14:textId="77777777" w:rsidR="00F31831" w:rsidRDefault="00000000">
      <w:r>
        <w:t>Hansell explained that ultra-fine particles can penetrate deep into the lungs and enter the bloodstream. Short-term evidence links exposure with respiratory and cardiovascular changes, while evidence on long-term mortality and hospital admissions is still developing because historical monitoring has been limited. Lewis said particles attributable to Heathrow have been detected in central London; Hansell put their transport distance at 10 to 20 km or more depending on wind. The witnesses wanted monitoring and an adaptive policy capable of incorporating evidence as it matures, rather than excluding pollutants that lack a current statutory limit (Q141, Q143 and Q152 to Q153).</w:t>
      </w:r>
    </w:p>
    <w:p w14:paraId="0D2F024A" w14:textId="77777777" w:rsidR="00F31831" w:rsidRDefault="00000000">
      <w:pPr>
        <w:pStyle w:val="Heading2"/>
      </w:pPr>
      <w:r>
        <w:t>Noise thresholds and current evidence</w:t>
      </w:r>
    </w:p>
    <w:p w14:paraId="5F77882E" w14:textId="77777777" w:rsidR="00F31831" w:rsidRDefault="00000000">
      <w:r>
        <w:t xml:space="preserve">Clark said the draft noise test omits important detail. Its insulation trigger is based on daytime exposure, whereas Heathrow’s current scheme also considers night contours, risk of awakening and early morning flights. The draft </w:t>
      </w:r>
      <w:r>
        <w:lastRenderedPageBreak/>
        <w:t>uses older annoyance and sleep relationships even though DfT and the CAA funded the newer ANNE and ANAS studies. Those studies show annoyance and sleep disturbance at lower exposure levels than earlier surveys. Clark recommended lower LOAEL thresholds and clear use of the new evidence in policy, not only sensitivity analysis (Q154 to Q163).</w:t>
      </w:r>
    </w:p>
    <w:p w14:paraId="07B02880" w14:textId="77777777" w:rsidR="00F31831" w:rsidRDefault="00000000">
      <w:r>
        <w:t>The witnesses also criticised the use of average decibel contours and household counts as insufficient measures of health. A 51 dB average can comprise many moderate events or fewer loud ones, while health effects may arise in the 40 dB range. Event metrics, the change from a quiet baseline, night exposure and the particularly noisy 6 am to 7 am period can better describe experienced impacts. The assessment should quantify health outcomes and affected populations rather than only the number of dwellings within a contour (Q163 to Q170).</w:t>
      </w:r>
    </w:p>
    <w:p w14:paraId="0C0E7D89" w14:textId="77777777" w:rsidR="00F31831" w:rsidRDefault="00000000">
      <w:pPr>
        <w:pStyle w:val="Heading2"/>
      </w:pPr>
      <w:r>
        <w:t>Health effects and children</w:t>
      </w:r>
    </w:p>
    <w:p w14:paraId="22F2ABBD" w14:textId="77777777" w:rsidR="00F31831" w:rsidRDefault="00000000">
      <w:r>
        <w:t>Hansell cited evidence linking aircraft noise with annoyance, sleep disturbance, blood pressure, type 2 diabetes and cardiovascular disease. Her group’s work around Heathrow associated higher exposure with thicker and stiffer hearts and materially increased risk of a major cardiac event. Clark said the current Transport Analysis Guidance uses old sleep evidence and omits outcomes including children’s cognition and all-cause mortality. Research around Heathrow, Amsterdam and Madrid found reading deficits among children exposed at school, with home exposure also relevant (Q154 and Q165 to Q170).</w:t>
      </w:r>
    </w:p>
    <w:p w14:paraId="52B349A0" w14:textId="77777777" w:rsidR="00F31831" w:rsidRDefault="00000000">
      <w:pPr>
        <w:pStyle w:val="Heading2"/>
      </w:pPr>
      <w:r>
        <w:t>Mitigation aircraft technology and monitoring</w:t>
      </w:r>
    </w:p>
    <w:p w14:paraId="431C6268" w14:textId="77777777" w:rsidR="00F31831" w:rsidRDefault="00000000">
      <w:r>
        <w:t>Clark’s evaluation of Heathrow’s insulation pilot found high annoyance falling from 68% before treatment to 17% after three months, and high sleep disturbance from 46% to 15%. The scheme can spend up to £34,000 per home and combines acoustic treatment with ventilation. These are substantial gains, but concentrating only on the noisiest homes misses a larger number of moderately exposed people who may account for much of the population health burden (Q171 to Q178).</w:t>
      </w:r>
    </w:p>
    <w:p w14:paraId="32F7FD1C" w14:textId="77777777" w:rsidR="00F31831" w:rsidRDefault="00000000">
      <w:r>
        <w:t>The draft relies heavily on quieter aircraft, but Clark described the assumed improvement of around 0.1 dB a year as small and dependent on technology and investment not yet secured. Expansion would also expose previously quieter communities to a “change effect”, potentially producing greater annoyance than standard relationships predict. DfT estimated an additional 92,700 people experiencing significant annoyance, but Clark considered this likely to rise if the newest evidence is used (Q179 to Q183).</w:t>
      </w:r>
    </w:p>
    <w:p w14:paraId="6EB5E007" w14:textId="77777777" w:rsidR="00F31831" w:rsidRDefault="00000000">
      <w:r>
        <w:t>Hansell and Clark called for a long-term health study during operation, with results used to control the ramp-up and strengthen mitigation. Melbourne’s new runway consent was cited as requiring a 20-year research programme. The HENPS presently relies on a prospective health impact assessment without an equivalent commitment to evaluate actual outcomes and respond if they are worse than forecast (Q184 to Q186).</w:t>
      </w:r>
    </w:p>
    <w:p w14:paraId="526069F9" w14:textId="77777777" w:rsidR="00F31831" w:rsidRDefault="00000000">
      <w:pPr>
        <w:pStyle w:val="Heading1"/>
      </w:pPr>
      <w:r>
        <w:t>Points of particular significance</w:t>
      </w:r>
    </w:p>
    <w:p w14:paraId="57CE51FE" w14:textId="77777777" w:rsidR="00F31831" w:rsidRDefault="00000000">
      <w:pPr>
        <w:pStyle w:val="ListBullet"/>
        <w:spacing w:after="50"/>
        <w:ind w:left="317" w:hanging="216"/>
      </w:pPr>
      <w:r>
        <w:t>A legal-limit test can permit deterioration and should not be presented as a no-harm threshold.</w:t>
      </w:r>
    </w:p>
    <w:p w14:paraId="212C63A1" w14:textId="77777777" w:rsidR="00F31831" w:rsidRDefault="00000000">
      <w:pPr>
        <w:pStyle w:val="ListBullet"/>
        <w:spacing w:after="50"/>
        <w:ind w:left="317" w:hanging="216"/>
      </w:pPr>
      <w:r>
        <w:t>The policy may become outdated before opening because it does not clearly incorporate future standards or emerging pollutants such as ultra-fine particles.</w:t>
      </w:r>
    </w:p>
    <w:p w14:paraId="3EF6CF9C" w14:textId="77777777" w:rsidR="00F31831" w:rsidRDefault="00000000">
      <w:pPr>
        <w:pStyle w:val="ListBullet"/>
        <w:spacing w:after="50"/>
        <w:ind w:left="317" w:hanging="216"/>
      </w:pPr>
      <w:r>
        <w:t>Government-funded ANAS and ANNE findings point to effects at lower noise levels than those embedded in the draft.</w:t>
      </w:r>
    </w:p>
    <w:p w14:paraId="1D876F63" w14:textId="77777777" w:rsidR="00F31831" w:rsidRDefault="00000000">
      <w:pPr>
        <w:pStyle w:val="ListBullet"/>
        <w:spacing w:after="50"/>
        <w:ind w:left="317" w:hanging="216"/>
      </w:pPr>
      <w:r>
        <w:t>Night noise, event frequency, change from baseline, children’s learning and newer cardiovascular evidence are not adequately captured by average contours and dwelling counts.</w:t>
      </w:r>
    </w:p>
    <w:p w14:paraId="6FC8E907" w14:textId="77777777" w:rsidR="00F31831" w:rsidRDefault="00000000">
      <w:pPr>
        <w:pStyle w:val="ListBullet"/>
        <w:spacing w:after="50"/>
        <w:ind w:left="317" w:hanging="216"/>
      </w:pPr>
      <w:r>
        <w:t>Insulation can produce large benefits, but its eligibility, cost, delivery timetable and relationship to the HENPS need to be explicit.</w:t>
      </w:r>
    </w:p>
    <w:p w14:paraId="09A09700" w14:textId="77777777" w:rsidR="00F31831" w:rsidRDefault="00000000">
      <w:pPr>
        <w:pStyle w:val="ListBullet"/>
        <w:spacing w:after="50"/>
        <w:ind w:left="317" w:hanging="216"/>
      </w:pPr>
      <w:r>
        <w:t>Operational consent should include continuing health surveillance and a mechanism to change operations or mitigation if actual impacts exceed forecasts.</w:t>
      </w:r>
    </w:p>
    <w:p w14:paraId="70CD8C60" w14:textId="77777777" w:rsidR="00F31831" w:rsidRDefault="00000000">
      <w:pPr>
        <w:pStyle w:val="Heading1"/>
      </w:pPr>
      <w:r>
        <w:t>Overall assessment</w:t>
      </w:r>
    </w:p>
    <w:p w14:paraId="188F339E" w14:textId="77777777" w:rsidR="00F31831" w:rsidRDefault="00000000">
      <w:r>
        <w:t>The evidence exposed a recurring weakness in the draft: compliance is tested against present legal or appraisal conventions rather than the health evidence and standards likely to apply over the runway’s long life. The panel did not argue that every uncertain effect could already be converted into a precise limit. It argued for precaution, monitoring and an adaptive framework. For the Committee, the important questions are whether the DCO test prevents deterioration, whether it captures the distribution and timing of exposure, and whether enforceable action follows if forecast mitigation or quieter-aircraft assumptions do not materialise.</w:t>
      </w:r>
    </w:p>
    <w:p w14:paraId="48BBE7E0" w14:textId="77777777" w:rsidR="00F31831" w:rsidRDefault="00000000">
      <w:pPr>
        <w:spacing w:before="140"/>
      </w:pPr>
      <w:r>
        <w:rPr>
          <w:i/>
          <w:color w:val="666666"/>
          <w:sz w:val="17"/>
        </w:rPr>
        <w:t>Source: Transport Committee oral evidence, Scrutiny of the draft Heathrow Expansion National Policy Statement, 8 September 2026, Questions 140–186.</w:t>
      </w:r>
    </w:p>
    <w:sectPr w:rsidR="00F31831" w:rsidSect="00034616">
      <w:headerReference w:type="default" r:id="rId8"/>
      <w:footerReference w:type="default" r:id="rId9"/>
      <w:pgSz w:w="12240" w:h="15840"/>
      <w:pgMar w:top="936" w:right="1037" w:bottom="893" w:left="1037" w:header="403"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5E79B" w14:textId="77777777" w:rsidR="00313EF1" w:rsidRDefault="00313EF1">
      <w:pPr>
        <w:spacing w:after="0" w:line="240" w:lineRule="auto"/>
      </w:pPr>
      <w:r>
        <w:separator/>
      </w:r>
    </w:p>
  </w:endnote>
  <w:endnote w:type="continuationSeparator" w:id="0">
    <w:p w14:paraId="3D6EA1B5" w14:textId="77777777" w:rsidR="00313EF1" w:rsidRDefault="00313E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7926F" w14:textId="77777777" w:rsidR="00F31831" w:rsidRDefault="00000000">
    <w:pPr>
      <w:pStyle w:val="Footer"/>
      <w:jc w:val="right"/>
    </w:pPr>
    <w:r>
      <w:rPr>
        <w:color w:val="666666"/>
        <w:sz w:val="16"/>
      </w:rPr>
      <w:t xml:space="preserve">Page </w:t>
    </w:r>
    <w:r>
      <w:fldChar w:fldCharType="begin"/>
    </w:r>
    <w:r>
      <w:instrText>PAGE</w:instrText>
    </w:r>
    <w:r>
      <w:fldChar w:fldCharType="separate"/>
    </w:r>
    <w:r w:rsidR="00BF36E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CE5F4" w14:textId="77777777" w:rsidR="00313EF1" w:rsidRDefault="00313EF1">
      <w:pPr>
        <w:spacing w:after="0" w:line="240" w:lineRule="auto"/>
      </w:pPr>
      <w:r>
        <w:separator/>
      </w:r>
    </w:p>
  </w:footnote>
  <w:footnote w:type="continuationSeparator" w:id="0">
    <w:p w14:paraId="61FE49FA" w14:textId="77777777" w:rsidR="00313EF1" w:rsidRDefault="00313E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51C87" w14:textId="77777777" w:rsidR="00F31831" w:rsidRDefault="00000000">
    <w:pPr>
      <w:pStyle w:val="Header"/>
      <w:jc w:val="right"/>
    </w:pPr>
    <w:r>
      <w:rPr>
        <w:b/>
        <w:color w:val="1F4E79"/>
        <w:sz w:val="16"/>
      </w:rPr>
      <w:t>Transport Committee HENPS scrutiny 8 September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76871945">
    <w:abstractNumId w:val="8"/>
  </w:num>
  <w:num w:numId="2" w16cid:durableId="1000233523">
    <w:abstractNumId w:val="6"/>
  </w:num>
  <w:num w:numId="3" w16cid:durableId="200243257">
    <w:abstractNumId w:val="5"/>
  </w:num>
  <w:num w:numId="4" w16cid:durableId="2015759074">
    <w:abstractNumId w:val="4"/>
  </w:num>
  <w:num w:numId="5" w16cid:durableId="1317878935">
    <w:abstractNumId w:val="7"/>
  </w:num>
  <w:num w:numId="6" w16cid:durableId="494538797">
    <w:abstractNumId w:val="3"/>
  </w:num>
  <w:num w:numId="7" w16cid:durableId="660163591">
    <w:abstractNumId w:val="2"/>
  </w:num>
  <w:num w:numId="8" w16cid:durableId="842623294">
    <w:abstractNumId w:val="1"/>
  </w:num>
  <w:num w:numId="9" w16cid:durableId="10320689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13EF1"/>
    <w:rsid w:val="00326F90"/>
    <w:rsid w:val="00761771"/>
    <w:rsid w:val="00AA1D8D"/>
    <w:rsid w:val="00B47730"/>
    <w:rsid w:val="00BF36EB"/>
    <w:rsid w:val="00CB0664"/>
    <w:rsid w:val="00F3183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3FF34E"/>
  <w14:defaultImageDpi w14:val="300"/>
  <w15:docId w15:val="{5A44E160-0BD4-4574-A8C2-2221895CE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7" w:lineRule="auto"/>
    </w:pPr>
    <w:rPr>
      <w:rFonts w:ascii="Arial" w:hAnsi="Arial"/>
      <w:color w:val="000000"/>
      <w:sz w:val="20"/>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line="240" w:lineRule="auto"/>
      <w:contextualSpacing/>
    </w:pPr>
    <w:rPr>
      <w:rFonts w:asciiTheme="majorHAnsi" w:eastAsiaTheme="majorEastAsia" w:hAnsiTheme="majorHAnsi" w:cstheme="majorBidi"/>
      <w:b/>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1255</Words>
  <Characters>7157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Lesley Smith</cp:lastModifiedBy>
  <cp:revision>2</cp:revision>
  <dcterms:created xsi:type="dcterms:W3CDTF">2026-09-17T09:20:00Z</dcterms:created>
  <dcterms:modified xsi:type="dcterms:W3CDTF">2026-09-17T09:20:00Z</dcterms:modified>
  <cp:category/>
</cp:coreProperties>
</file>