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5913" w14:textId="77777777" w:rsidR="00EC1B3E" w:rsidRDefault="00000000">
      <w:pPr>
        <w:pStyle w:val="Title"/>
      </w:pPr>
      <w:r>
        <w:rPr>
          <w:rFonts w:ascii="Arial" w:hAnsi="Arial"/>
        </w:rPr>
        <w:t>Transport Committee HENPS Scrutiny Climate and Carbon</w:t>
      </w:r>
    </w:p>
    <w:p w14:paraId="4C7605F1" w14:textId="77777777" w:rsidR="00EC1B3E" w:rsidRDefault="00000000">
      <w:pPr>
        <w:spacing w:after="160"/>
      </w:pPr>
      <w:r>
        <w:rPr>
          <w:b/>
          <w:color w:val="1F4E79"/>
          <w:sz w:val="22"/>
        </w:rPr>
        <w:t>Briefing note</w:t>
      </w:r>
    </w:p>
    <w:tbl>
      <w:tblPr>
        <w:tblW w:w="0" w:type="auto"/>
        <w:jc w:val="center"/>
        <w:tblLayout w:type="fixed"/>
        <w:tblLook w:val="04A0" w:firstRow="1" w:lastRow="0" w:firstColumn="1" w:lastColumn="0" w:noHBand="0" w:noVBand="1"/>
      </w:tblPr>
      <w:tblGrid>
        <w:gridCol w:w="1944"/>
        <w:gridCol w:w="8568"/>
      </w:tblGrid>
      <w:tr w:rsidR="00EC1B3E" w14:paraId="04FA4D73" w14:textId="77777777">
        <w:trPr>
          <w:jc w:val="center"/>
        </w:trPr>
        <w:tc>
          <w:tcPr>
            <w:tcW w:w="1944" w:type="dxa"/>
            <w:shd w:val="clear" w:color="auto" w:fill="D9EAF7"/>
            <w:tcMar>
              <w:top w:w="80" w:type="dxa"/>
              <w:left w:w="100" w:type="dxa"/>
              <w:bottom w:w="80" w:type="dxa"/>
              <w:right w:w="100" w:type="dxa"/>
            </w:tcMar>
            <w:vAlign w:val="center"/>
          </w:tcPr>
          <w:p w14:paraId="66CED8CC" w14:textId="77777777" w:rsidR="00EC1B3E" w:rsidRDefault="00000000">
            <w:pPr>
              <w:spacing w:after="0"/>
            </w:pPr>
            <w:r>
              <w:rPr>
                <w:b/>
                <w:color w:val="1F4E79"/>
                <w:sz w:val="18"/>
              </w:rPr>
              <w:t>Session</w:t>
            </w:r>
          </w:p>
        </w:tc>
        <w:tc>
          <w:tcPr>
            <w:tcW w:w="8568" w:type="dxa"/>
            <w:tcMar>
              <w:top w:w="80" w:type="dxa"/>
              <w:left w:w="100" w:type="dxa"/>
              <w:bottom w:w="80" w:type="dxa"/>
              <w:right w:w="100" w:type="dxa"/>
            </w:tcMar>
            <w:vAlign w:val="center"/>
          </w:tcPr>
          <w:p w14:paraId="285FF9AE" w14:textId="77777777" w:rsidR="00EC1B3E" w:rsidRDefault="00000000">
            <w:pPr>
              <w:spacing w:after="0"/>
            </w:pPr>
            <w:r>
              <w:rPr>
                <w:sz w:val="18"/>
              </w:rPr>
              <w:t>8 September 2026 at 4 pm</w:t>
            </w:r>
          </w:p>
        </w:tc>
      </w:tr>
      <w:tr w:rsidR="00EC1B3E" w14:paraId="6D682617" w14:textId="77777777">
        <w:trPr>
          <w:jc w:val="center"/>
        </w:trPr>
        <w:tc>
          <w:tcPr>
            <w:tcW w:w="1944" w:type="dxa"/>
            <w:shd w:val="clear" w:color="auto" w:fill="D9EAF7"/>
            <w:tcMar>
              <w:top w:w="80" w:type="dxa"/>
              <w:left w:w="100" w:type="dxa"/>
              <w:bottom w:w="80" w:type="dxa"/>
              <w:right w:w="100" w:type="dxa"/>
            </w:tcMar>
            <w:vAlign w:val="center"/>
          </w:tcPr>
          <w:p w14:paraId="1179E1F6" w14:textId="77777777" w:rsidR="00EC1B3E" w:rsidRDefault="00000000">
            <w:pPr>
              <w:spacing w:after="0"/>
            </w:pPr>
            <w:r>
              <w:rPr>
                <w:b/>
                <w:color w:val="1F4E79"/>
                <w:sz w:val="18"/>
              </w:rPr>
              <w:t>Questions</w:t>
            </w:r>
          </w:p>
        </w:tc>
        <w:tc>
          <w:tcPr>
            <w:tcW w:w="8568" w:type="dxa"/>
            <w:tcMar>
              <w:top w:w="80" w:type="dxa"/>
              <w:left w:w="100" w:type="dxa"/>
              <w:bottom w:w="80" w:type="dxa"/>
              <w:right w:w="100" w:type="dxa"/>
            </w:tcMar>
            <w:vAlign w:val="center"/>
          </w:tcPr>
          <w:p w14:paraId="0BDE6227" w14:textId="77777777" w:rsidR="00EC1B3E" w:rsidRDefault="00000000">
            <w:pPr>
              <w:spacing w:after="0"/>
            </w:pPr>
            <w:r>
              <w:rPr>
                <w:sz w:val="18"/>
              </w:rPr>
              <w:t>Q112 to Q139</w:t>
            </w:r>
          </w:p>
        </w:tc>
      </w:tr>
      <w:tr w:rsidR="00EC1B3E" w14:paraId="2D67C10A" w14:textId="77777777">
        <w:trPr>
          <w:jc w:val="center"/>
        </w:trPr>
        <w:tc>
          <w:tcPr>
            <w:tcW w:w="1944" w:type="dxa"/>
            <w:shd w:val="clear" w:color="auto" w:fill="D9EAF7"/>
            <w:tcMar>
              <w:top w:w="80" w:type="dxa"/>
              <w:left w:w="100" w:type="dxa"/>
              <w:bottom w:w="80" w:type="dxa"/>
              <w:right w:w="100" w:type="dxa"/>
            </w:tcMar>
            <w:vAlign w:val="center"/>
          </w:tcPr>
          <w:p w14:paraId="4F8A3BD6" w14:textId="77777777" w:rsidR="00EC1B3E" w:rsidRDefault="00000000">
            <w:pPr>
              <w:spacing w:after="0"/>
            </w:pPr>
            <w:r>
              <w:rPr>
                <w:b/>
                <w:color w:val="1F4E79"/>
                <w:sz w:val="18"/>
              </w:rPr>
              <w:t>Witnesses</w:t>
            </w:r>
          </w:p>
        </w:tc>
        <w:tc>
          <w:tcPr>
            <w:tcW w:w="8568" w:type="dxa"/>
            <w:tcMar>
              <w:top w:w="80" w:type="dxa"/>
              <w:left w:w="100" w:type="dxa"/>
              <w:bottom w:w="80" w:type="dxa"/>
              <w:right w:w="100" w:type="dxa"/>
            </w:tcMar>
            <w:vAlign w:val="center"/>
          </w:tcPr>
          <w:p w14:paraId="052667C6" w14:textId="77777777" w:rsidR="00EC1B3E" w:rsidRDefault="00000000">
            <w:pPr>
              <w:spacing w:after="0"/>
            </w:pPr>
            <w:r>
              <w:rPr>
                <w:sz w:val="18"/>
              </w:rPr>
              <w:t>Celeste Hicks, Aviation Environment Federation; Dr Lois Pennington, Tyndall Centre; Alethea Warrington, Possible</w:t>
            </w:r>
          </w:p>
        </w:tc>
      </w:tr>
      <w:tr w:rsidR="00EC1B3E" w14:paraId="66CA4649" w14:textId="77777777">
        <w:trPr>
          <w:jc w:val="center"/>
        </w:trPr>
        <w:tc>
          <w:tcPr>
            <w:tcW w:w="1944" w:type="dxa"/>
            <w:shd w:val="clear" w:color="auto" w:fill="D9EAF7"/>
            <w:tcMar>
              <w:top w:w="80" w:type="dxa"/>
              <w:left w:w="100" w:type="dxa"/>
              <w:bottom w:w="80" w:type="dxa"/>
              <w:right w:w="100" w:type="dxa"/>
            </w:tcMar>
            <w:vAlign w:val="center"/>
          </w:tcPr>
          <w:p w14:paraId="0065799F" w14:textId="77777777" w:rsidR="00EC1B3E" w:rsidRDefault="00000000">
            <w:pPr>
              <w:spacing w:after="0"/>
            </w:pPr>
            <w:r>
              <w:rPr>
                <w:b/>
                <w:color w:val="1F4E79"/>
                <w:sz w:val="18"/>
              </w:rPr>
              <w:t>Focus</w:t>
            </w:r>
          </w:p>
        </w:tc>
        <w:tc>
          <w:tcPr>
            <w:tcW w:w="8568" w:type="dxa"/>
            <w:tcMar>
              <w:top w:w="80" w:type="dxa"/>
              <w:left w:w="100" w:type="dxa"/>
              <w:bottom w:w="80" w:type="dxa"/>
              <w:right w:w="100" w:type="dxa"/>
            </w:tcMar>
            <w:vAlign w:val="center"/>
          </w:tcPr>
          <w:p w14:paraId="4FF78C32" w14:textId="77777777" w:rsidR="00EC1B3E" w:rsidRDefault="00000000">
            <w:pPr>
              <w:spacing w:after="0"/>
            </w:pPr>
            <w:r>
              <w:rPr>
                <w:sz w:val="18"/>
              </w:rPr>
              <w:t>Climate test, carbon budgets, technology, sustainable aviation fuel, removals and demand</w:t>
            </w:r>
          </w:p>
        </w:tc>
      </w:tr>
    </w:tbl>
    <w:p w14:paraId="78F74ADD" w14:textId="77777777" w:rsidR="00EC1B3E" w:rsidRDefault="00EC1B3E">
      <w:pPr>
        <w:spacing w:after="0"/>
      </w:pPr>
    </w:p>
    <w:p w14:paraId="41FFF327" w14:textId="77777777" w:rsidR="00EC1B3E" w:rsidRDefault="00000000">
      <w:pPr>
        <w:pStyle w:val="Heading1"/>
      </w:pPr>
      <w:r>
        <w:t>Overview</w:t>
      </w:r>
    </w:p>
    <w:p w14:paraId="131FE42E" w14:textId="77777777" w:rsidR="00EC1B3E" w:rsidRDefault="00000000">
      <w:r>
        <w:t>The panel’s central conclusion was that the climate test in the draft Heathrow Expansion National Policy Statement is too weak to establish that a third runway would be compatible with the UK’s carbon budgets and net zero target. The witnesses argued that the test is framed against economy-wide budgets, leaves “material impact” undefined and imposes no quantified emissions ceiling on the applicant. In their view, it relies on a Jet Zero pathway whose assumptions on sustainable aviation fuel, aircraft technology, carbon prices and greenhouse gas removals have already been revised adversely. They favoured a test against an aviation sector pathway, measurable progress before expansion and enforceable contingency measures if decarbonisation falls behind.</w:t>
      </w:r>
    </w:p>
    <w:p w14:paraId="4981775A" w14:textId="77777777" w:rsidR="00EC1B3E" w:rsidRDefault="00000000">
      <w:pPr>
        <w:pStyle w:val="Heading1"/>
      </w:pPr>
      <w:r>
        <w:t>Key highlights</w:t>
      </w:r>
    </w:p>
    <w:p w14:paraId="06CC8BD8" w14:textId="77777777" w:rsidR="00EC1B3E" w:rsidRDefault="00000000">
      <w:pPr>
        <w:pStyle w:val="Heading2"/>
      </w:pPr>
      <w:r>
        <w:t>The climate test and carbon budgets</w:t>
      </w:r>
    </w:p>
    <w:p w14:paraId="701D9044" w14:textId="77777777" w:rsidR="00EC1B3E" w:rsidRDefault="00000000">
      <w:r>
        <w:t>Hicks said Heathrow would need to show only that expansion did not materially affect the UK’s ability to meet an economy-wide carbon budget. The HENPS does not define “material”, while responsibility for the overall budget rests with DESNZ and aviation policy rests with DfT. This division allows the applicant to rely on national policy without demonstrating a commensurate reduction in its own flight emissions. Warrington added that the draft contains no maximum emissions threshold, minimum mitigation requirement or obligation on the Secretary of State to refuse consent at a defined level of residual emissions (Q113 to Q115).</w:t>
      </w:r>
    </w:p>
    <w:p w14:paraId="393486C0" w14:textId="77777777" w:rsidR="00EC1B3E" w:rsidRDefault="00000000">
      <w:r>
        <w:t>Pennington argued that the relevant comparator should be aviation’s share of the seventh carbon budget. She cited about 535 MtCO2e for the whole economy during 2038–42 and around 146 MtCO2e for aviation under the Climate Change Committee pathway. Testing a single runway against the larger economy-wide figure could conceal a significant sectoral effect. She also said the forecast initially masks expansion by assuming that about 75% of Heathrow’s early traffic is displaced from Gatwick, Luton and London City; those airports can refill later, after the period covered by the currently legislated budgets (Q113).</w:t>
      </w:r>
    </w:p>
    <w:p w14:paraId="2F224BF1" w14:textId="77777777" w:rsidR="00EC1B3E" w:rsidRDefault="00000000">
      <w:pPr>
        <w:pStyle w:val="Heading2"/>
      </w:pPr>
      <w:r>
        <w:t>Jet Zero assumptions and the timing problem</w:t>
      </w:r>
    </w:p>
    <w:p w14:paraId="51C82E5F" w14:textId="77777777" w:rsidR="00EC1B3E" w:rsidRDefault="00000000">
      <w:r>
        <w:t>The panel stressed that the latest DfT forecasts point to higher residual aviation emissions than the earlier Jet Zero Strategy. Hicks contrasted the Jet Zero central figure of 37 MtCO2 in 2050 with about 41 MtCO2 in the HENPS forecast. Pennington said every DfT scenario examined in the Tyndall Centre’s work exceeded the indicative aviation allocation for carbon budget 7, with the central case still around 30 MtCO2e over even if the SAF mandate were met (Q113, Q116 and Q117).</w:t>
      </w:r>
    </w:p>
    <w:p w14:paraId="07A7D9D7" w14:textId="77777777" w:rsidR="00EC1B3E" w:rsidRDefault="00000000">
      <w:r>
        <w:t>The witnesses considered the sequencing unsatisfactory. Parliament is being asked to approve the policy before the announced 2027 refresh of Jet Zero. The forecast also assumes that terminal capacity will delay full use of the runway, shifting much of the emissions growth beyond carbon budget 7 and towards a period for which no post-2050 carbon budget exists. Those assumptions are not expressed as enforceable HENPS conditions (Q115, Q117 and Q122).</w:t>
      </w:r>
    </w:p>
    <w:p w14:paraId="4D5CD317" w14:textId="77777777" w:rsidR="00EC1B3E" w:rsidRDefault="00000000">
      <w:pPr>
        <w:pStyle w:val="Heading2"/>
      </w:pPr>
      <w:r>
        <w:t>Non carbon warming and technological delivery</w:t>
      </w:r>
    </w:p>
    <w:p w14:paraId="7D1AE5DB" w14:textId="77777777" w:rsidR="00EC1B3E" w:rsidRDefault="00000000">
      <w:r>
        <w:t xml:space="preserve">Warrington described the qualitative treatment of non-CO2 effects as a major omission because contrails and other non-CO2 effects account for a large share of aviation warming. Hicks noted that DESNZ uses a 1.9 multiplier in other contexts and argued that uncertainty supports precaution and monitoring rather than exclusion. The panel </w:t>
      </w:r>
      <w:r>
        <w:lastRenderedPageBreak/>
        <w:t>wanted quantitative assessment, provision to update the appraisal as evidence improves, and a mitigation pathway (Q118 and Q119).</w:t>
      </w:r>
    </w:p>
    <w:p w14:paraId="0BF0EDDC" w14:textId="77777777" w:rsidR="00EC1B3E" w:rsidRDefault="00000000">
      <w:r>
        <w:t>Zero-emission aircraft, operational efficiency and airspace modernisation were expected to make only limited contributions by 2050. Pennington noted that DfT had removed zero-emission aircraft from the relevant forecast period and reduced its efficiency assumptions since 2022. The panel’s wider point was that expansion should follow demonstrated delivery of decarbonisation technology, rather than depend on it arriving later (Q122 and Q125).</w:t>
      </w:r>
    </w:p>
    <w:p w14:paraId="34E1C898" w14:textId="77777777" w:rsidR="00EC1B3E" w:rsidRDefault="00000000">
      <w:pPr>
        <w:pStyle w:val="Heading2"/>
      </w:pPr>
      <w:r>
        <w:t>Sustainable aviation fuel and removals</w:t>
      </w:r>
    </w:p>
    <w:p w14:paraId="54D9477C" w14:textId="77777777" w:rsidR="00EC1B3E" w:rsidRDefault="00000000">
      <w:r>
        <w:t>SAF was regarded as essential but insufficient and uncertain. DfT’s assumed 2050 SAF share was said to have fallen from 50% to 30%, while the CCC balanced pathway assumes 38% of liquid fuel. Current supply depends heavily on HEFA feedstocks, which are finite and competed for by other sectors. Power-to-liquid fuel requires large quantities of low-carbon electricity and remains expensive. Pennington said the only modelled case within the aviation budget combined delivery of the SAF mandate with no demand growth from the present level (Q120 to Q125 and Q137 to Q139).</w:t>
      </w:r>
    </w:p>
    <w:p w14:paraId="2E9838D7" w14:textId="77777777" w:rsidR="00EC1B3E" w:rsidRDefault="00000000">
      <w:r>
        <w:t>Greenhouse gas removals were described as being required at a scale far beyond present delivery. Pennington said carbon budget 7 already assumes around 21 MtCO2e of removals over the period, with aviation using much of them; Hicks estimated an additional Heathrow effect of around 3.5 MtCO2 a year from 2050. The witnesses said the HENPS does not identify who would deliver or pay for the removals, or how energy and storage requirements would be met (Q126).</w:t>
      </w:r>
    </w:p>
    <w:p w14:paraId="20C94CF3" w14:textId="77777777" w:rsidR="00EC1B3E" w:rsidRDefault="00000000">
      <w:pPr>
        <w:pStyle w:val="Heading2"/>
      </w:pPr>
      <w:r>
        <w:t>Carbon pricing and demand management</w:t>
      </w:r>
    </w:p>
    <w:p w14:paraId="6599CCA2" w14:textId="77777777" w:rsidR="00EC1B3E" w:rsidRDefault="00000000">
      <w:r>
        <w:t>Hicks said the former Jet Zero high-ambition case used a carbon price of £432 per tonne, compared with a later DESNZ projection of about £125 and a current price around £40. Only a minority of flights are currently exposed to the UK or EU trading regimes, with long-haul emissions and contrail effects especially under-covered. The panel therefore did not regard carbon pricing alone as a dependable control (Q127 to Q129).</w:t>
      </w:r>
    </w:p>
    <w:p w14:paraId="584C5232" w14:textId="77777777" w:rsidR="00EC1B3E" w:rsidRDefault="00000000">
      <w:r>
        <w:t>All three witnesses considered some form of demand management unavoidable if technology remained behind schedule. They criticised a uniform price increase as regressive and favoured measures directed at frequent flying, citing evidence that 15% of British people generate 70% of passenger demand and that the top 3% take 30% of flights. They called for emissions caps or capacity controls, annual monitoring of progress, and a contingency response when major SAF or removals projects are cancelled or delayed (Q130 to Q134).</w:t>
      </w:r>
    </w:p>
    <w:p w14:paraId="02FA1EDC" w14:textId="77777777" w:rsidR="00EC1B3E" w:rsidRDefault="00000000">
      <w:pPr>
        <w:pStyle w:val="Heading1"/>
      </w:pPr>
      <w:r>
        <w:t>Points of particular significance</w:t>
      </w:r>
    </w:p>
    <w:p w14:paraId="507E9777" w14:textId="77777777" w:rsidR="00EC1B3E" w:rsidRDefault="00000000">
      <w:pPr>
        <w:pStyle w:val="ListBullet"/>
        <w:spacing w:after="50"/>
        <w:ind w:left="317" w:hanging="216"/>
      </w:pPr>
      <w:r>
        <w:t>The test could be passed without a quantified Heathrow emissions ceiling because it is linked to an economy-wide budget and an undefined materiality threshold.</w:t>
      </w:r>
    </w:p>
    <w:p w14:paraId="23859D41" w14:textId="77777777" w:rsidR="00EC1B3E" w:rsidRDefault="00000000">
      <w:pPr>
        <w:pStyle w:val="ListBullet"/>
        <w:spacing w:after="50"/>
        <w:ind w:left="317" w:hanging="216"/>
      </w:pPr>
      <w:r>
        <w:t>The apparent near-term compatibility depends partly on traffic displacement and delayed terminal capacity, not solely on lower emissions per flight.</w:t>
      </w:r>
    </w:p>
    <w:p w14:paraId="57EE9C1B" w14:textId="77777777" w:rsidR="00EC1B3E" w:rsidRDefault="00000000">
      <w:pPr>
        <w:pStyle w:val="ListBullet"/>
        <w:spacing w:after="50"/>
        <w:ind w:left="317" w:hanging="216"/>
      </w:pPr>
      <w:r>
        <w:t>The HENPS decision precedes the Jet Zero refresh, although DfT’s own assumptions have deteriorated since 2022.</w:t>
      </w:r>
    </w:p>
    <w:p w14:paraId="77E79B4F" w14:textId="77777777" w:rsidR="00EC1B3E" w:rsidRDefault="00000000">
      <w:pPr>
        <w:pStyle w:val="ListBullet"/>
        <w:spacing w:after="50"/>
        <w:ind w:left="317" w:hanging="216"/>
      </w:pPr>
      <w:r>
        <w:t>Non-CO2 warming, removals costs and post-2042 or post-2050 effects could materially alter the assessment but are not subject to firm policy tests.</w:t>
      </w:r>
    </w:p>
    <w:p w14:paraId="0B3E2E4C" w14:textId="77777777" w:rsidR="00EC1B3E" w:rsidRDefault="00000000">
      <w:pPr>
        <w:pStyle w:val="ListBullet"/>
        <w:spacing w:after="50"/>
        <w:ind w:left="317" w:hanging="216"/>
      </w:pPr>
      <w:r>
        <w:t>The panel’s proposed remedy was a sector-specific pathway, prior evidence of delivery, regular review and enforceable demand or capacity controls if progress fails.</w:t>
      </w:r>
    </w:p>
    <w:p w14:paraId="6B82D22E" w14:textId="77777777" w:rsidR="00EC1B3E" w:rsidRDefault="00000000">
      <w:pPr>
        <w:pStyle w:val="Heading1"/>
      </w:pPr>
      <w:r>
        <w:t>Overall assessment</w:t>
      </w:r>
    </w:p>
    <w:p w14:paraId="14C60DDF" w14:textId="77777777" w:rsidR="00EC1B3E" w:rsidRDefault="00000000">
      <w:r>
        <w:t>This was a consistently critical panel. Its strongest challenge was not simply that aviation technology might underperform, but that the draft policy transfers the consequences of that risk away from the promoter and into future national policy. The Committee was presented with a circularity: higher carbon prices and other decarbonisation costs are assumed to restrain demand sufficiently to meet climate objectives, yet restrained demand may weaken the need and commercial case for the runway. The evidence therefore supports closer scrutiny of the definition of the climate test, the period over which it applies, the enforceability of its modelling assumptions and the identity of the party bearing delivery risk.</w:t>
      </w:r>
    </w:p>
    <w:p w14:paraId="0D0EF1DE" w14:textId="77777777" w:rsidR="00EC1B3E" w:rsidRDefault="00000000">
      <w:pPr>
        <w:spacing w:before="140"/>
      </w:pPr>
      <w:r>
        <w:rPr>
          <w:i/>
          <w:color w:val="666666"/>
          <w:sz w:val="17"/>
        </w:rPr>
        <w:t>Source: Transport Committee oral evidence, Scrutiny of the draft Heathrow Expansion National Policy Statement, 8 September 2026, Questions 112–139.</w:t>
      </w:r>
    </w:p>
    <w:sectPr w:rsidR="00EC1B3E" w:rsidSect="00034616">
      <w:headerReference w:type="default" r:id="rId8"/>
      <w:footerReference w:type="default" r:id="rId9"/>
      <w:pgSz w:w="12240" w:h="15840"/>
      <w:pgMar w:top="936" w:right="1037" w:bottom="893" w:left="1037"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1081" w14:textId="77777777" w:rsidR="00E56A92" w:rsidRDefault="00E56A92">
      <w:pPr>
        <w:spacing w:after="0" w:line="240" w:lineRule="auto"/>
      </w:pPr>
      <w:r>
        <w:separator/>
      </w:r>
    </w:p>
  </w:endnote>
  <w:endnote w:type="continuationSeparator" w:id="0">
    <w:p w14:paraId="66862D2F" w14:textId="77777777" w:rsidR="00E56A92" w:rsidRDefault="00E56A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B772" w14:textId="77777777" w:rsidR="00EC1B3E" w:rsidRDefault="00000000">
    <w:pPr>
      <w:pStyle w:val="Footer"/>
      <w:jc w:val="right"/>
    </w:pPr>
    <w:r>
      <w:rPr>
        <w:color w:val="666666"/>
        <w:sz w:val="16"/>
      </w:rPr>
      <w:t xml:space="preserve">Page </w:t>
    </w:r>
    <w:r>
      <w:fldChar w:fldCharType="begin"/>
    </w:r>
    <w:r>
      <w:instrText>PAGE</w:instrText>
    </w:r>
    <w:r>
      <w:fldChar w:fldCharType="separate"/>
    </w:r>
    <w:r w:rsidR="0087283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138E4" w14:textId="77777777" w:rsidR="00E56A92" w:rsidRDefault="00E56A92">
      <w:pPr>
        <w:spacing w:after="0" w:line="240" w:lineRule="auto"/>
      </w:pPr>
      <w:r>
        <w:separator/>
      </w:r>
    </w:p>
  </w:footnote>
  <w:footnote w:type="continuationSeparator" w:id="0">
    <w:p w14:paraId="4423E815" w14:textId="77777777" w:rsidR="00E56A92" w:rsidRDefault="00E56A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A9625" w14:textId="77777777" w:rsidR="00EC1B3E" w:rsidRDefault="00000000">
    <w:pPr>
      <w:pStyle w:val="Header"/>
      <w:jc w:val="right"/>
    </w:pPr>
    <w:r>
      <w:rPr>
        <w:b/>
        <w:color w:val="1F4E79"/>
        <w:sz w:val="16"/>
      </w:rPr>
      <w:t>Transport Committee HENPS scrutiny 8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3590759">
    <w:abstractNumId w:val="8"/>
  </w:num>
  <w:num w:numId="2" w16cid:durableId="1909680638">
    <w:abstractNumId w:val="6"/>
  </w:num>
  <w:num w:numId="3" w16cid:durableId="1901744542">
    <w:abstractNumId w:val="5"/>
  </w:num>
  <w:num w:numId="4" w16cid:durableId="2135831494">
    <w:abstractNumId w:val="4"/>
  </w:num>
  <w:num w:numId="5" w16cid:durableId="1407267463">
    <w:abstractNumId w:val="7"/>
  </w:num>
  <w:num w:numId="6" w16cid:durableId="1717896811">
    <w:abstractNumId w:val="3"/>
  </w:num>
  <w:num w:numId="7" w16cid:durableId="146627791">
    <w:abstractNumId w:val="2"/>
  </w:num>
  <w:num w:numId="8" w16cid:durableId="1820923849">
    <w:abstractNumId w:val="1"/>
  </w:num>
  <w:num w:numId="9" w16cid:durableId="730924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D72A1"/>
    <w:rsid w:val="00761771"/>
    <w:rsid w:val="00872838"/>
    <w:rsid w:val="00AA1D8D"/>
    <w:rsid w:val="00B47730"/>
    <w:rsid w:val="00B55F81"/>
    <w:rsid w:val="00CB0664"/>
    <w:rsid w:val="00E56A92"/>
    <w:rsid w:val="00EC1B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ECF792"/>
  <w14:defaultImageDpi w14:val="300"/>
  <w15:docId w15:val="{5A44E160-0BD4-4574-A8C2-2221895CE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7" w:lineRule="auto"/>
    </w:pPr>
    <w:rPr>
      <w:rFonts w:ascii="Arial" w:hAnsi="Arial"/>
      <w:color w:val="000000"/>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1202</Words>
  <Characters>6856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Lesley Smith</cp:lastModifiedBy>
  <cp:revision>2</cp:revision>
  <dcterms:created xsi:type="dcterms:W3CDTF">2026-09-17T09:37:00Z</dcterms:created>
  <dcterms:modified xsi:type="dcterms:W3CDTF">2026-09-17T09:37:00Z</dcterms:modified>
  <cp:category/>
</cp:coreProperties>
</file>