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262A8" w14:textId="77777777" w:rsidR="006D2E38" w:rsidRDefault="00000000">
      <w:pPr>
        <w:pStyle w:val="Title"/>
      </w:pPr>
      <w:r>
        <w:t>How the hearings reinforce SASIG’s evidence</w:t>
      </w:r>
    </w:p>
    <w:p w14:paraId="4A8FB40D" w14:textId="77777777" w:rsidR="006D2E38" w:rsidRDefault="00000000">
      <w:pPr>
        <w:pStyle w:val="Subtitle"/>
      </w:pPr>
      <w:r>
        <w:t>HENPS Transport Committee inquiry | Economics and business panels, 2 September 2026</w:t>
      </w:r>
    </w:p>
    <w:p w14:paraId="05FB3B94" w14:textId="77777777" w:rsidR="006D2E38" w:rsidRDefault="00000000">
      <w:pPr>
        <w:spacing w:after="140"/>
      </w:pPr>
      <w:r>
        <w:rPr>
          <w:b/>
          <w:color w:val="285B82"/>
          <w:sz w:val="17"/>
        </w:rPr>
        <w:t>BRIEFING NOTE  |  6 September 2026</w:t>
      </w:r>
    </w:p>
    <w:tbl>
      <w:tblPr>
        <w:tblW w:w="0" w:type="auto"/>
        <w:tblLayout w:type="fixed"/>
        <w:tblLook w:val="04A0" w:firstRow="1" w:lastRow="0" w:firstColumn="1" w:lastColumn="0" w:noHBand="0" w:noVBand="1"/>
      </w:tblPr>
      <w:tblGrid>
        <w:gridCol w:w="9490"/>
      </w:tblGrid>
      <w:tr w:rsidR="006D2E38" w14:paraId="58C6CBDD" w14:textId="77777777">
        <w:tc>
          <w:tcPr>
            <w:tcW w:w="9490" w:type="dxa"/>
            <w:shd w:val="clear" w:color="auto" w:fill="EAF0F5"/>
          </w:tcPr>
          <w:p w14:paraId="122962FA" w14:textId="77777777" w:rsidR="006D2E38" w:rsidRDefault="00000000">
            <w:pPr>
              <w:spacing w:after="0"/>
            </w:pPr>
            <w:r>
              <w:rPr>
                <w:b/>
              </w:rPr>
              <w:t>Key takeaway.</w:t>
            </w:r>
            <w:r>
              <w:t xml:space="preserve"> The hearings substantially reinforce SASIG’s central criticism: Heathrow is being assessed without a complete national, network-wide and freight evidence base. They also support stronger carbon and surface-access provisions, while leaving SASIG’s detailed local-authority, noise and airspace concerns for later evidence.</w:t>
            </w:r>
          </w:p>
        </w:tc>
      </w:tr>
    </w:tbl>
    <w:p w14:paraId="5D87BC38" w14:textId="77777777" w:rsidR="006D2E38" w:rsidRDefault="006D2E38">
      <w:pPr>
        <w:spacing w:after="0"/>
      </w:pPr>
    </w:p>
    <w:p w14:paraId="3B4C8F81" w14:textId="77777777" w:rsidR="006D2E38" w:rsidRDefault="00000000">
      <w:pPr>
        <w:pStyle w:val="Heading1"/>
      </w:pPr>
      <w:r>
        <w:t>Purpose and SASIG position</w:t>
      </w:r>
    </w:p>
    <w:p w14:paraId="032A1591" w14:textId="115CFEF0" w:rsidR="006D2E38" w:rsidRDefault="00000000">
      <w:r>
        <w:t xml:space="preserve">This note identifies where evidence given to the Transport Committee reinforced the Strategic Aviation Special Interest Group (SASIG) written submission. SASIG </w:t>
      </w:r>
      <w:r w:rsidR="00312F9E">
        <w:t xml:space="preserve">has </w:t>
      </w:r>
      <w:r>
        <w:t>take</w:t>
      </w:r>
      <w:r w:rsidR="00312F9E">
        <w:t>n</w:t>
      </w:r>
      <w:r>
        <w:t xml:space="preserve"> no corporate position for or against a third runway. Its case is that a Heathrow-only statement cannot credibly be “national” without a coherent aviation strategy, system-wide assessment, freight evidence, carbon framework and proper treatment of local-authority impacts.</w:t>
      </w:r>
    </w:p>
    <w:p w14:paraId="008A1D04" w14:textId="77777777" w:rsidR="006D2E38" w:rsidRDefault="00000000">
      <w:pPr>
        <w:pStyle w:val="Heading1"/>
      </w:pPr>
      <w:r>
        <w:t>1. A national system, not a single-airport appraisal</w:t>
      </w:r>
    </w:p>
    <w:p w14:paraId="4D87E4EB" w14:textId="23A964AD" w:rsidR="006D2E38" w:rsidRDefault="00000000">
      <w:r>
        <w:t xml:space="preserve">The strongest reinforcement came before the substantive economics debate. DfT admitted that its analysis had omitted benefits at Gatwick created by Heathrow expansion and that the correction was likely to amount to billions (economics Q1–Q3). This directly validates SASIG’s argument that </w:t>
      </w:r>
      <w:r w:rsidRPr="00312F9E">
        <w:rPr>
          <w:i/>
          <w:iCs/>
        </w:rPr>
        <w:t xml:space="preserve">Heathrow interacts with capacity, demand and prices across the London airport system. It supports SASIG’s call for a London-system and national-network assessment </w:t>
      </w:r>
      <w:r w:rsidR="00312F9E" w:rsidRPr="00312F9E">
        <w:rPr>
          <w:i/>
          <w:iCs/>
        </w:rPr>
        <w:t>and UK wide Airport policy</w:t>
      </w:r>
      <w:r w:rsidR="00312F9E">
        <w:t xml:space="preserve"> </w:t>
      </w:r>
      <w:r>
        <w:t>rather than a</w:t>
      </w:r>
      <w:r w:rsidR="00312F9E">
        <w:t>n isolated</w:t>
      </w:r>
      <w:r>
        <w:t xml:space="preserve"> site appraisal.</w:t>
      </w:r>
    </w:p>
    <w:p w14:paraId="7165DA43" w14:textId="77777777" w:rsidR="006D2E38" w:rsidRDefault="00000000">
      <w:r>
        <w:t xml:space="preserve">The business panel likewise discussed Heathrow’s competition with Schiphol, Paris, Frankfurt, Dubai and Istanbul, and accepted that costs and capacity at Heathrow affect other London airports (business Q57–Q58, Q90). The relevant unit of analysis is an </w:t>
      </w:r>
      <w:r w:rsidRPr="00312F9E">
        <w:rPr>
          <w:i/>
          <w:iCs/>
        </w:rPr>
        <w:t>airport network</w:t>
      </w:r>
      <w:r>
        <w:t>, including international substitution, not Heathrow alone.</w:t>
      </w:r>
    </w:p>
    <w:p w14:paraId="6B7333B3" w14:textId="77777777" w:rsidR="006D2E38" w:rsidRDefault="00000000">
      <w:pPr>
        <w:pStyle w:val="Heading1"/>
      </w:pPr>
      <w:r>
        <w:t>2. Changed context and incomplete policy framework</w:t>
      </w:r>
    </w:p>
    <w:p w14:paraId="3D934181" w14:textId="77777777" w:rsidR="006D2E38" w:rsidRDefault="00000000">
      <w:r>
        <w:t xml:space="preserve">DfT listed significant changes since 2018: consented South East capacity, phased delivery, lower business-travel demand and higher carbon values (economics Q4). Business witnesses also accepted the change in travel patterns and geopolitical context (business Q57). </w:t>
      </w:r>
      <w:r w:rsidRPr="00312F9E">
        <w:rPr>
          <w:i/>
          <w:iCs/>
        </w:rPr>
        <w:t>This supports SASIG’s concern that a materially narrowed HENPS is being advanced against fragmented and ageing national aviation policy, even though the factual and policy baseline has altered substantially.</w:t>
      </w:r>
    </w:p>
    <w:p w14:paraId="5544C5DB" w14:textId="77777777" w:rsidR="006D2E38" w:rsidRDefault="00000000">
      <w:r>
        <w:t xml:space="preserve">The difficulties in combining the welfare appraisal and GDP model, together with calls for more sensitivity testing and clearer evidence, </w:t>
      </w:r>
      <w:r w:rsidRPr="00312F9E">
        <w:rPr>
          <w:i/>
          <w:iCs/>
        </w:rPr>
        <w:t>reinforce SASIG’s recommendation that the HENPS should sit within an updated national framework capable of reconciling capacity, connectivity, carbon and regional distribution (economics Q22–Q49).</w:t>
      </w:r>
    </w:p>
    <w:p w14:paraId="4A675426" w14:textId="77777777" w:rsidR="006D2E38" w:rsidRDefault="00000000">
      <w:pPr>
        <w:pStyle w:val="Heading1"/>
      </w:pPr>
      <w:r>
        <w:t>3. Regional distribution and local additionality</w:t>
      </w:r>
    </w:p>
    <w:p w14:paraId="79141DBA" w14:textId="77777777" w:rsidR="006D2E38" w:rsidRDefault="00000000">
      <w:pPr>
        <w:pStyle w:val="ListBullet"/>
        <w:spacing w:after="60"/>
        <w:ind w:hanging="230"/>
      </w:pPr>
      <w:r w:rsidRPr="00312F9E">
        <w:rPr>
          <w:i/>
          <w:iCs/>
        </w:rPr>
        <w:t xml:space="preserve">DfT said only 14%–40% of benefits were modelled outside London and the </w:t>
      </w:r>
      <w:proofErr w:type="gramStart"/>
      <w:r w:rsidRPr="00312F9E">
        <w:rPr>
          <w:i/>
          <w:iCs/>
        </w:rPr>
        <w:t>South East</w:t>
      </w:r>
      <w:proofErr w:type="gramEnd"/>
      <w:r w:rsidRPr="00312F9E">
        <w:rPr>
          <w:i/>
          <w:iCs/>
        </w:rPr>
        <w:t>, not the previously promoted 60%. The peer reviewer warned that the model did not reliably show where Heathrow users—and therefore gains—were located</w:t>
      </w:r>
      <w:r>
        <w:t xml:space="preserve"> (economics Q50–Q51). This reinforces SASIG’s concern that “growth across the country” is asserted without adequate spatial evidence.</w:t>
      </w:r>
    </w:p>
    <w:p w14:paraId="13C5664E" w14:textId="77777777" w:rsidR="006D2E38" w:rsidRDefault="00000000">
      <w:pPr>
        <w:pStyle w:val="ListBullet"/>
        <w:spacing w:after="60"/>
        <w:ind w:hanging="230"/>
      </w:pPr>
      <w:r>
        <w:t>The model does not capture deprivation and assumes full employment; long-term regional jobs are effectively held constant. Witnesses distinguished additional employment from switching jobs or sectors, and recognised that job losses matter more in weaker labour markets (economics Q41–Q54). This supports SASIG’s demand for locally meaningful, distributional evidence.</w:t>
      </w:r>
    </w:p>
    <w:p w14:paraId="16F269DF" w14:textId="77777777" w:rsidR="006D2E38" w:rsidRPr="00312F9E" w:rsidRDefault="00000000">
      <w:pPr>
        <w:pStyle w:val="ListBullet"/>
        <w:spacing w:after="60"/>
        <w:ind w:hanging="230"/>
        <w:rPr>
          <w:i/>
          <w:iCs/>
        </w:rPr>
      </w:pPr>
      <w:r w:rsidRPr="00312F9E">
        <w:rPr>
          <w:i/>
          <w:iCs/>
        </w:rPr>
        <w:t>Questioning about persistent deprivation around Heathrow and unfulfilled Terminal 5 expectations showed why local benefits cannot simply be inferred from passenger growth</w:t>
      </w:r>
      <w:r>
        <w:t xml:space="preserve">. </w:t>
      </w:r>
      <w:r w:rsidRPr="00312F9E">
        <w:rPr>
          <w:i/>
          <w:iCs/>
        </w:rPr>
        <w:t>GMB itself said benefits must be “built in” through wages, pensions, contracts and apprenticeships (business Q76–Q84). This aligns with SASIG’s call for enforceable, funded commitments.</w:t>
      </w:r>
    </w:p>
    <w:p w14:paraId="6CD457F1" w14:textId="77777777" w:rsidR="006D2E38" w:rsidRDefault="00000000">
      <w:pPr>
        <w:pStyle w:val="Heading1"/>
      </w:pPr>
      <w:r>
        <w:lastRenderedPageBreak/>
        <w:t>4. Freight evidence and complementary capacity</w:t>
      </w:r>
    </w:p>
    <w:p w14:paraId="293EA0C7" w14:textId="77777777" w:rsidR="006D2E38" w:rsidRDefault="00000000">
      <w:r w:rsidRPr="00A358BB">
        <w:rPr>
          <w:i/>
          <w:iCs/>
        </w:rPr>
        <w:t xml:space="preserve">SASIG’s most direct reinforcement concerns freight. DfT accepted there was no freight forecast and that freight should have been </w:t>
      </w:r>
      <w:proofErr w:type="gramStart"/>
      <w:r w:rsidRPr="00A358BB">
        <w:rPr>
          <w:i/>
          <w:iCs/>
        </w:rPr>
        <w:t>considered, but</w:t>
      </w:r>
      <w:proofErr w:type="gramEnd"/>
      <w:r w:rsidRPr="00A358BB">
        <w:rPr>
          <w:i/>
          <w:iCs/>
        </w:rPr>
        <w:t xml:space="preserve"> said data and modelling limitations prevented quantification (economics Q32, Q40–Q55)</w:t>
      </w:r>
      <w:r>
        <w:t>. This is precisely the gap identified in the submission: no separation of bellyhold and freighter markets, no airport substitution analysis, no treatment of surface logistics and no cross-Channel leakage assessment.</w:t>
      </w:r>
    </w:p>
    <w:p w14:paraId="62AABF3E" w14:textId="77777777" w:rsidR="006D2E38" w:rsidRDefault="00000000">
      <w:r w:rsidRPr="00A358BB">
        <w:rPr>
          <w:i/>
          <w:iCs/>
        </w:rPr>
        <w:t>The business panel confirmed that freight matters to regional exporters but could not quantify the uplift.</w:t>
      </w:r>
      <w:r>
        <w:t xml:space="preserve"> The Chair also recorded logistics evidence that dedicated cargo is squeezed from passenger airports, noted Heathrow’s scarcity of dedicated freighters and raised Manston as complementary cargo capacity (business Q60–Q61, Q99). This supports SASIG’s proposed UK Air Freight Strategy: Heathrow’s bellyhold role should be planned alongside regional freighter airports.</w:t>
      </w:r>
    </w:p>
    <w:p w14:paraId="4B779C44" w14:textId="77777777" w:rsidR="006D2E38" w:rsidRDefault="00000000">
      <w:pPr>
        <w:pStyle w:val="Heading1"/>
      </w:pPr>
      <w:r>
        <w:t>5. Carbon, mitigation and surface access</w:t>
      </w:r>
    </w:p>
    <w:p w14:paraId="46B2C860" w14:textId="77777777" w:rsidR="006D2E38" w:rsidRDefault="00000000">
      <w:r>
        <w:t>The economics panel highlighted higher residual aviation emissions, uncertain carbon-removal costs, absence of a secure funding mechanism and insufficient testing of carbon-price pass-through (economics Q7, Q15–Q16, Q26–Q37). This reinforces SASIG’s demand for an explicit account of how Heathrow growth fits within the sector’s carbon constraint and what that means for growth elsewhere.</w:t>
      </w:r>
    </w:p>
    <w:p w14:paraId="53BDE563" w14:textId="77777777" w:rsidR="006D2E38" w:rsidRDefault="00000000">
      <w:r>
        <w:t>Business evidence supported stronger clarity over surface-access responsibilities and funding, including western and southern rail connections and reliable travel for shift workers (business Q94–Q108). This reinforces SASIG’s recommendation that the Strategic Vision for Transport should be binding, the funding split defined and delivery obligations enforceable.</w:t>
      </w:r>
    </w:p>
    <w:p w14:paraId="3715F0FD" w14:textId="77777777" w:rsidR="006D2E38" w:rsidRDefault="00000000">
      <w:r>
        <w:t>The hearings were less developed on SASIG’s detailed noise, air-quality, airspace-change and local-authority finance concerns. Those arguments remain important but were not substantively proven or rebutted by these panels.</w:t>
      </w:r>
    </w:p>
    <w:p w14:paraId="5FCAF492" w14:textId="77777777" w:rsidR="006D2E38" w:rsidRDefault="00000000">
      <w:pPr>
        <w:pStyle w:val="Heading1"/>
      </w:pPr>
      <w:r>
        <w:t>Implications for the Committee</w:t>
      </w:r>
    </w:p>
    <w:p w14:paraId="08157D01" w14:textId="77777777" w:rsidR="006D2E38" w:rsidRDefault="00000000">
      <w:pPr>
        <w:pStyle w:val="ListBullet"/>
        <w:spacing w:after="60"/>
        <w:ind w:hanging="230"/>
      </w:pPr>
      <w:r>
        <w:t>Obtain and scrutinise DfT’s full corrected appraisal before reaching conclusions.</w:t>
      </w:r>
    </w:p>
    <w:p w14:paraId="3B693B6C" w14:textId="77777777" w:rsidR="006D2E38" w:rsidRDefault="00000000">
      <w:pPr>
        <w:pStyle w:val="ListBullet"/>
        <w:spacing w:after="60"/>
        <w:ind w:hanging="230"/>
      </w:pPr>
      <w:r>
        <w:t>Require a London-system and UK-network assessment, with credible regional distribution and domestic-connectivity mechanisms.</w:t>
      </w:r>
    </w:p>
    <w:p w14:paraId="4F197094" w14:textId="77777777" w:rsidR="006D2E38" w:rsidRDefault="00000000">
      <w:pPr>
        <w:pStyle w:val="ListBullet"/>
        <w:spacing w:after="60"/>
        <w:ind w:hanging="230"/>
      </w:pPr>
      <w:r>
        <w:t>Require separate freight forecasts and a complementary national freight-capacity strategy.</w:t>
      </w:r>
    </w:p>
    <w:p w14:paraId="1E00CF82" w14:textId="77777777" w:rsidR="006D2E38" w:rsidRDefault="00000000">
      <w:pPr>
        <w:pStyle w:val="ListBullet"/>
        <w:spacing w:after="60"/>
        <w:ind w:hanging="230"/>
      </w:pPr>
      <w:r>
        <w:t>Make carbon, surface-access, local-benefit and monitoring commitments measurable, funded and enforceable.</w:t>
      </w:r>
    </w:p>
    <w:p w14:paraId="20257DBA" w14:textId="77777777" w:rsidR="006D2E38" w:rsidRDefault="00000000">
      <w:pPr>
        <w:pStyle w:val="ListBullet"/>
        <w:spacing w:after="60"/>
        <w:ind w:hanging="230"/>
      </w:pPr>
      <w:r>
        <w:t>Retain SASIG’s specific noise, air-quality, airspace and local-authority impact recommendations for later specialist hearings.</w:t>
      </w:r>
    </w:p>
    <w:p w14:paraId="595517B2" w14:textId="77777777" w:rsidR="006D2E38" w:rsidRDefault="00000000">
      <w:pPr>
        <w:pStyle w:val="Heading3"/>
      </w:pPr>
      <w:r>
        <w:t>Source note</w:t>
      </w:r>
    </w:p>
    <w:p w14:paraId="307ADA50" w14:textId="77777777" w:rsidR="006D2E38" w:rsidRDefault="00000000">
      <w:r>
        <w:t xml:space="preserve">Transport Committee oral evidence, HC 482, 2 September 2026, Q1–111; SASIG, </w:t>
      </w:r>
      <w:r>
        <w:rPr>
          <w:i/>
        </w:rPr>
        <w:t>HENPS Written Evidence to the Transport Committee</w:t>
      </w:r>
      <w:r>
        <w:t>, 2026. This note compares the hearing evidence directly with SASIG’s submission.</w:t>
      </w:r>
    </w:p>
    <w:sectPr w:rsidR="006D2E38" w:rsidSect="00034616">
      <w:headerReference w:type="default" r:id="rId8"/>
      <w:footerReference w:type="default" r:id="rId9"/>
      <w:pgSz w:w="11909" w:h="16834"/>
      <w:pgMar w:top="979" w:right="1123" w:bottom="979" w:left="1123"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86C46" w14:textId="77777777" w:rsidR="005F42D4" w:rsidRDefault="005F42D4">
      <w:pPr>
        <w:spacing w:after="0" w:line="240" w:lineRule="auto"/>
      </w:pPr>
      <w:r>
        <w:separator/>
      </w:r>
    </w:p>
  </w:endnote>
  <w:endnote w:type="continuationSeparator" w:id="0">
    <w:p w14:paraId="5A0709EF" w14:textId="77777777" w:rsidR="005F42D4" w:rsidRDefault="005F4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89791" w14:textId="77777777" w:rsidR="006D2E38" w:rsidRDefault="00000000">
    <w:pPr>
      <w:pStyle w:val="Footer"/>
      <w:jc w:val="right"/>
    </w:pPr>
    <w:r>
      <w:rPr>
        <w:sz w:val="16"/>
      </w:rPr>
      <w:t xml:space="preserve">Page </w:t>
    </w:r>
    <w:r>
      <w:fldChar w:fldCharType="begin"/>
    </w:r>
    <w:r>
      <w:instrText>PAGE</w:instrText>
    </w:r>
    <w:r>
      <w:fldChar w:fldCharType="separate"/>
    </w:r>
    <w:r w:rsidR="00312F9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7F49E" w14:textId="77777777" w:rsidR="005F42D4" w:rsidRDefault="005F42D4">
      <w:pPr>
        <w:spacing w:after="0" w:line="240" w:lineRule="auto"/>
      </w:pPr>
      <w:r>
        <w:separator/>
      </w:r>
    </w:p>
  </w:footnote>
  <w:footnote w:type="continuationSeparator" w:id="0">
    <w:p w14:paraId="235A9BF7" w14:textId="77777777" w:rsidR="005F42D4" w:rsidRDefault="005F4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D8815" w14:textId="77777777" w:rsidR="006D2E38" w:rsidRDefault="00000000">
    <w:pPr>
      <w:pStyle w:val="Header"/>
      <w:jc w:val="right"/>
    </w:pPr>
    <w:r>
      <w:rPr>
        <w:b/>
        <w:color w:val="5A636C"/>
        <w:sz w:val="16"/>
      </w:rPr>
      <w:t>HENPS TRANSPORT COMMITTEE BRIEFING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582981">
    <w:abstractNumId w:val="8"/>
  </w:num>
  <w:num w:numId="2" w16cid:durableId="965312289">
    <w:abstractNumId w:val="6"/>
  </w:num>
  <w:num w:numId="3" w16cid:durableId="1290093239">
    <w:abstractNumId w:val="5"/>
  </w:num>
  <w:num w:numId="4" w16cid:durableId="660543144">
    <w:abstractNumId w:val="4"/>
  </w:num>
  <w:num w:numId="5" w16cid:durableId="476189891">
    <w:abstractNumId w:val="7"/>
  </w:num>
  <w:num w:numId="6" w16cid:durableId="1194264398">
    <w:abstractNumId w:val="3"/>
  </w:num>
  <w:num w:numId="7" w16cid:durableId="125396650">
    <w:abstractNumId w:val="2"/>
  </w:num>
  <w:num w:numId="8" w16cid:durableId="1503427996">
    <w:abstractNumId w:val="1"/>
  </w:num>
  <w:num w:numId="9" w16cid:durableId="1763529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12F9E"/>
    <w:rsid w:val="00326F90"/>
    <w:rsid w:val="005B10C2"/>
    <w:rsid w:val="005F42D4"/>
    <w:rsid w:val="006D0582"/>
    <w:rsid w:val="006D2E38"/>
    <w:rsid w:val="00732527"/>
    <w:rsid w:val="00753307"/>
    <w:rsid w:val="00A358B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F73ADB"/>
  <w14:defaultImageDpi w14:val="300"/>
  <w15:docId w15:val="{C13C2FBA-8ED4-1642-BE7F-439BCA836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52"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73756"/>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173756"/>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b/>
      <w:bCs/>
      <w:color w:val="173756"/>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contextualSpacing/>
    </w:pPr>
    <w:rPr>
      <w:rFonts w:asciiTheme="majorHAnsi" w:eastAsiaTheme="majorEastAsia" w:hAnsiTheme="majorHAnsi" w:cstheme="majorBidi"/>
      <w:b/>
      <w:color w:val="17375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80"/>
    </w:pPr>
    <w:rPr>
      <w:rFonts w:asciiTheme="majorHAnsi" w:eastAsiaTheme="majorEastAsia" w:hAnsiTheme="majorHAnsi" w:cstheme="majorBidi"/>
      <w:i/>
      <w:iCs/>
      <w:color w:val="17375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990</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How the hearings reinforce SASIG’s evidence</vt:lpstr>
    </vt:vector>
  </TitlesOfParts>
  <Manager/>
  <Company/>
  <LinksUpToDate>false</LinksUpToDate>
  <CharactersWithSpaces>6620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hearings reinforce SASIG’s evidence</dc:title>
  <dc:subject>Draft Heathrow Expansion National Policy Statement</dc:subject>
  <dc:creator>python-docx</dc:creator>
  <cp:keywords/>
  <dc:description>generated by python-docx</dc:description>
  <cp:lastModifiedBy>Lesley Smith</cp:lastModifiedBy>
  <cp:revision>2</cp:revision>
  <dcterms:created xsi:type="dcterms:W3CDTF">2026-09-07T08:04:00Z</dcterms:created>
  <dcterms:modified xsi:type="dcterms:W3CDTF">2026-09-07T08:04:00Z</dcterms:modified>
  <cp:category/>
</cp:coreProperties>
</file>